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ED4CD">
      <w:pPr>
        <w:pStyle w:val="5"/>
        <w:widowControl/>
        <w:spacing w:beforeAutospacing="0" w:afterAutospacing="0" w:line="360" w:lineRule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附件一：</w:t>
      </w:r>
    </w:p>
    <w:p w14:paraId="39BA3AFC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本项目所包含项目所含设备信息、维修维保的范围、保修期限、重要技术参数要求等：</w:t>
      </w:r>
    </w:p>
    <w:p w14:paraId="5F01E69C">
      <w:pPr>
        <w:spacing w:line="360" w:lineRule="auto"/>
        <w:jc w:val="left"/>
        <w:rPr>
          <w:rFonts w:hint="eastAsia" w:ascii="宋体" w:hAnsi="宋体"/>
          <w:color w:val="auto"/>
          <w:sz w:val="24"/>
          <w:szCs w:val="24"/>
          <w:shd w:val="clear" w:color="auto" w:fill="FFFFFF"/>
        </w:rPr>
      </w:pPr>
      <w:r>
        <w:rPr>
          <w:rFonts w:hint="eastAsia" w:ascii="宋体" w:hAnsi="宋体"/>
          <w:color w:val="auto"/>
          <w:sz w:val="24"/>
          <w:szCs w:val="24"/>
          <w:shd w:val="clear" w:color="auto" w:fill="FFFFFF"/>
        </w:rPr>
        <w:t>设备维保设备清单：</w:t>
      </w:r>
    </w:p>
    <w:p w14:paraId="6FA7C33D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ascii="宋体" w:hAnsi="宋体"/>
          <w:b w:val="0"/>
          <w:bCs w:val="0"/>
          <w:color w:val="555555"/>
          <w:sz w:val="24"/>
          <w:szCs w:val="24"/>
        </w:rPr>
        <w:t>内镜中心奥林巴斯内镜设备</w:t>
      </w:r>
      <w:r>
        <w:rPr>
          <w:rFonts w:hint="eastAsia" w:ascii="宋体" w:hAnsi="宋体"/>
          <w:b w:val="0"/>
          <w:bCs w:val="0"/>
          <w:sz w:val="24"/>
          <w:szCs w:val="24"/>
        </w:rPr>
        <w:t>，数量：72把；</w:t>
      </w:r>
    </w:p>
    <w:p w14:paraId="5D760D56">
      <w:pPr>
        <w:spacing w:line="360" w:lineRule="auto"/>
        <w:rPr>
          <w:rFonts w:hint="eastAsia" w:ascii="宋体" w:hAnsi="宋体"/>
          <w:b w:val="0"/>
          <w:bCs w:val="0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</w:rPr>
        <w:t>维保范围：</w:t>
      </w:r>
      <w:r>
        <w:rPr>
          <w:rFonts w:ascii="宋体" w:hAnsi="宋体"/>
          <w:b w:val="0"/>
          <w:bCs w:val="0"/>
          <w:sz w:val="24"/>
          <w:szCs w:val="24"/>
          <w:shd w:val="clear" w:color="auto" w:fill="FFFFFF"/>
        </w:rPr>
        <w:t>内镜中心奥林巴斯内镜设备</w:t>
      </w:r>
      <w:r>
        <w:rPr>
          <w:rFonts w:hint="eastAsia" w:ascii="宋体" w:hAnsi="宋体"/>
          <w:b w:val="0"/>
          <w:bCs w:val="0"/>
          <w:sz w:val="24"/>
          <w:szCs w:val="24"/>
          <w:shd w:val="clear" w:color="auto" w:fill="FFFFFF"/>
        </w:rPr>
        <w:t>人工及配件全保保修服务。</w:t>
      </w:r>
    </w:p>
    <w:p w14:paraId="54C03362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</w:t>
      </w:r>
      <w:r>
        <w:rPr>
          <w:rFonts w:hint="eastAsia" w:ascii="宋体" w:hAnsi="宋体"/>
          <w:sz w:val="24"/>
          <w:szCs w:val="24"/>
          <w:lang w:val="en-US" w:eastAsia="zh-CN"/>
        </w:rPr>
        <w:t>滨海院区</w:t>
      </w:r>
      <w:r>
        <w:rPr>
          <w:rFonts w:ascii="宋体" w:hAnsi="宋体"/>
          <w:sz w:val="24"/>
          <w:szCs w:val="24"/>
        </w:rPr>
        <w:t>以下2</w:t>
      </w:r>
      <w:r>
        <w:rPr>
          <w:rFonts w:hint="eastAsia" w:ascii="宋体" w:hAnsi="宋体"/>
          <w:sz w:val="24"/>
          <w:szCs w:val="24"/>
        </w:rPr>
        <w:t>0</w:t>
      </w:r>
      <w:r>
        <w:rPr>
          <w:rFonts w:ascii="宋体" w:hAnsi="宋体"/>
          <w:sz w:val="24"/>
          <w:szCs w:val="24"/>
        </w:rPr>
        <w:t>台设备，维保期</w:t>
      </w:r>
      <w:r>
        <w:rPr>
          <w:rFonts w:hint="eastAsia" w:ascii="宋体" w:hAnsi="宋体"/>
          <w:sz w:val="24"/>
          <w:szCs w:val="24"/>
        </w:rPr>
        <w:t>12个月</w:t>
      </w:r>
      <w:r>
        <w:rPr>
          <w:rFonts w:ascii="宋体" w:hAnsi="宋体"/>
          <w:sz w:val="24"/>
          <w:szCs w:val="24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2460"/>
        <w:gridCol w:w="2445"/>
      </w:tblGrid>
      <w:tr w14:paraId="7AECB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182" w:type="dxa"/>
          </w:tcPr>
          <w:p w14:paraId="3C4990F9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设备名称</w:t>
            </w:r>
          </w:p>
        </w:tc>
        <w:tc>
          <w:tcPr>
            <w:tcW w:w="2460" w:type="dxa"/>
            <w:vAlign w:val="center"/>
          </w:tcPr>
          <w:p w14:paraId="6D4B6C5B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型号</w:t>
            </w:r>
          </w:p>
        </w:tc>
        <w:tc>
          <w:tcPr>
            <w:tcW w:w="2445" w:type="dxa"/>
            <w:vAlign w:val="center"/>
          </w:tcPr>
          <w:p w14:paraId="0188DF57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</w:rPr>
            </w:pPr>
            <w:bookmarkStart w:id="0" w:name="OLE_LINK6"/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数量</w:t>
            </w:r>
            <w:bookmarkEnd w:id="0"/>
          </w:p>
        </w:tc>
      </w:tr>
      <w:tr w14:paraId="6069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182" w:type="dxa"/>
            <w:vAlign w:val="center"/>
          </w:tcPr>
          <w:p w14:paraId="77CB4BA6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bookmarkStart w:id="1" w:name="_Hlk215736683"/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超声电子支气管镜</w:t>
            </w:r>
          </w:p>
        </w:tc>
        <w:tc>
          <w:tcPr>
            <w:tcW w:w="2460" w:type="dxa"/>
            <w:vAlign w:val="center"/>
          </w:tcPr>
          <w:p w14:paraId="4D220CD9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</w:rPr>
            </w:pPr>
            <w:r>
              <w:rPr>
                <w:rFonts w:ascii="宋体" w:hAnsi="宋体" w:cs="微软雅黑"/>
                <w:b w:val="0"/>
                <w:bCs w:val="0"/>
                <w:lang w:bidi="ar"/>
              </w:rPr>
              <w:t>BF-UC290F</w:t>
            </w:r>
          </w:p>
        </w:tc>
        <w:tc>
          <w:tcPr>
            <w:tcW w:w="2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3D040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1</w:t>
            </w:r>
          </w:p>
        </w:tc>
      </w:tr>
      <w:bookmarkEnd w:id="1"/>
      <w:tr w14:paraId="3C602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182" w:type="dxa"/>
          </w:tcPr>
          <w:p w14:paraId="49447B5B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60" w:type="dxa"/>
            <w:vAlign w:val="center"/>
          </w:tcPr>
          <w:p w14:paraId="633D3363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GIF-H</w:t>
            </w:r>
            <w:r>
              <w:rPr>
                <w:rFonts w:ascii="宋体" w:hAnsi="宋体" w:cs="微软雅黑"/>
                <w:b w:val="0"/>
                <w:bCs w:val="0"/>
                <w:lang w:bidi="ar"/>
              </w:rPr>
              <w:t>290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95B4B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7</w:t>
            </w:r>
          </w:p>
        </w:tc>
      </w:tr>
      <w:tr w14:paraId="1E4F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182" w:type="dxa"/>
          </w:tcPr>
          <w:p w14:paraId="78F59171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60" w:type="dxa"/>
            <w:vAlign w:val="center"/>
          </w:tcPr>
          <w:p w14:paraId="7FD98ED6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</w:t>
            </w:r>
            <w:r>
              <w:rPr>
                <w:rFonts w:ascii="宋体" w:hAnsi="宋体" w:cs="微软雅黑"/>
                <w:b w:val="0"/>
                <w:bCs w:val="0"/>
                <w:lang w:bidi="ar"/>
              </w:rPr>
              <w:t>TYPE Q260J</w:t>
            </w:r>
          </w:p>
        </w:tc>
        <w:tc>
          <w:tcPr>
            <w:tcW w:w="2445" w:type="dxa"/>
            <w:vAlign w:val="center"/>
          </w:tcPr>
          <w:p w14:paraId="5849B26F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53F26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182" w:type="dxa"/>
          </w:tcPr>
          <w:p w14:paraId="1B4AD99B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60" w:type="dxa"/>
            <w:vAlign w:val="center"/>
          </w:tcPr>
          <w:p w14:paraId="218AE122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GIF-H</w:t>
            </w:r>
            <w:r>
              <w:rPr>
                <w:rFonts w:ascii="宋体" w:hAnsi="宋体" w:cs="微软雅黑"/>
                <w:b w:val="0"/>
                <w:bCs w:val="0"/>
                <w:lang w:bidi="ar"/>
              </w:rPr>
              <w:t>290Z</w:t>
            </w:r>
          </w:p>
        </w:tc>
        <w:tc>
          <w:tcPr>
            <w:tcW w:w="2445" w:type="dxa"/>
            <w:vAlign w:val="center"/>
          </w:tcPr>
          <w:p w14:paraId="67EB9650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</w:rPr>
              <w:t>1</w:t>
            </w:r>
          </w:p>
        </w:tc>
      </w:tr>
      <w:tr w14:paraId="73FE0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182" w:type="dxa"/>
          </w:tcPr>
          <w:p w14:paraId="1AB53F1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ascii="宋体" w:hAnsi="宋体" w:cs="微软雅黑"/>
                <w:b w:val="0"/>
                <w:bCs w:val="0"/>
                <w:lang w:bidi="ar"/>
              </w:rPr>
              <w:t>电子</w:t>
            </w: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结</w:t>
            </w:r>
            <w:r>
              <w:rPr>
                <w:rFonts w:ascii="宋体" w:hAnsi="宋体" w:cs="微软雅黑"/>
                <w:b w:val="0"/>
                <w:bCs w:val="0"/>
                <w:lang w:bidi="ar"/>
              </w:rPr>
              <w:t>肠镜</w:t>
            </w:r>
          </w:p>
        </w:tc>
        <w:tc>
          <w:tcPr>
            <w:tcW w:w="2460" w:type="dxa"/>
            <w:vAlign w:val="center"/>
          </w:tcPr>
          <w:p w14:paraId="364346FA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CF-</w:t>
            </w:r>
            <w:r>
              <w:rPr>
                <w:rFonts w:ascii="宋体" w:hAnsi="宋体" w:cs="微软雅黑"/>
                <w:b w:val="0"/>
                <w:bCs w:val="0"/>
                <w:lang w:bidi="ar"/>
              </w:rPr>
              <w:t>H290I</w:t>
            </w:r>
          </w:p>
        </w:tc>
        <w:tc>
          <w:tcPr>
            <w:tcW w:w="2445" w:type="dxa"/>
            <w:vAlign w:val="center"/>
          </w:tcPr>
          <w:p w14:paraId="4E06BFEF">
            <w:pPr>
              <w:widowControl/>
              <w:jc w:val="center"/>
              <w:textAlignment w:val="center"/>
              <w:rPr>
                <w:rFonts w:ascii="宋体" w:hAnsi="宋体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</w:rPr>
              <w:t>9</w:t>
            </w:r>
          </w:p>
        </w:tc>
      </w:tr>
    </w:tbl>
    <w:p w14:paraId="1CE44797">
      <w:pPr>
        <w:spacing w:line="360" w:lineRule="auto"/>
        <w:rPr>
          <w:rFonts w:ascii="宋体" w:hAnsi="宋体"/>
          <w:sz w:val="24"/>
          <w:szCs w:val="24"/>
        </w:rPr>
      </w:pPr>
    </w:p>
    <w:p w14:paraId="48657A6B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</w:t>
      </w:r>
      <w:r>
        <w:rPr>
          <w:rFonts w:hint="eastAsia" w:ascii="宋体" w:hAnsi="宋体"/>
          <w:sz w:val="24"/>
          <w:szCs w:val="24"/>
          <w:lang w:val="en-US" w:eastAsia="zh-CN"/>
        </w:rPr>
        <w:t>茶亭院区</w:t>
      </w:r>
      <w:r>
        <w:rPr>
          <w:rFonts w:ascii="宋体" w:hAnsi="宋体"/>
          <w:sz w:val="24"/>
          <w:szCs w:val="24"/>
        </w:rPr>
        <w:t>以下</w:t>
      </w:r>
      <w:r>
        <w:rPr>
          <w:rFonts w:hint="eastAsia" w:ascii="宋体" w:hAnsi="宋体"/>
          <w:sz w:val="24"/>
          <w:szCs w:val="24"/>
        </w:rPr>
        <w:t>32</w:t>
      </w:r>
      <w:r>
        <w:rPr>
          <w:rFonts w:ascii="宋体" w:hAnsi="宋体"/>
          <w:sz w:val="24"/>
          <w:szCs w:val="24"/>
        </w:rPr>
        <w:t>台设备，维保期</w:t>
      </w:r>
      <w:r>
        <w:rPr>
          <w:rFonts w:hint="eastAsia" w:ascii="宋体" w:hAnsi="宋体"/>
          <w:sz w:val="24"/>
          <w:szCs w:val="24"/>
        </w:rPr>
        <w:t>9个月</w:t>
      </w:r>
      <w:r>
        <w:rPr>
          <w:rFonts w:ascii="宋体" w:hAnsi="宋体"/>
          <w:sz w:val="24"/>
          <w:szCs w:val="24"/>
        </w:rPr>
        <w:t>。</w:t>
      </w:r>
    </w:p>
    <w:tbl>
      <w:tblPr>
        <w:tblStyle w:val="8"/>
        <w:tblW w:w="70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2437"/>
        <w:gridCol w:w="2462"/>
      </w:tblGrid>
      <w:tr w14:paraId="2C9EE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191" w:type="dxa"/>
          </w:tcPr>
          <w:p w14:paraId="697F4F04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设备名称</w:t>
            </w:r>
          </w:p>
        </w:tc>
        <w:tc>
          <w:tcPr>
            <w:tcW w:w="2437" w:type="dxa"/>
            <w:vAlign w:val="center"/>
          </w:tcPr>
          <w:p w14:paraId="540747C9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型号</w:t>
            </w:r>
          </w:p>
        </w:tc>
        <w:tc>
          <w:tcPr>
            <w:tcW w:w="2462" w:type="dxa"/>
            <w:vAlign w:val="center"/>
          </w:tcPr>
          <w:p w14:paraId="3659C31C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数量</w:t>
            </w:r>
          </w:p>
        </w:tc>
      </w:tr>
      <w:tr w14:paraId="2C366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1" w:type="dxa"/>
          </w:tcPr>
          <w:p w14:paraId="244ACCDF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超声电子胃镜</w:t>
            </w:r>
          </w:p>
        </w:tc>
        <w:tc>
          <w:tcPr>
            <w:tcW w:w="2437" w:type="dxa"/>
            <w:vAlign w:val="center"/>
          </w:tcPr>
          <w:p w14:paraId="64A24F9E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ascii="宋体" w:hAnsi="宋体"/>
                <w:b w:val="0"/>
                <w:bCs w:val="0"/>
              </w:rPr>
              <w:t>GF TYPE UCT260</w:t>
            </w:r>
          </w:p>
        </w:tc>
        <w:tc>
          <w:tcPr>
            <w:tcW w:w="2462" w:type="dxa"/>
            <w:vAlign w:val="center"/>
          </w:tcPr>
          <w:p w14:paraId="41D53A9D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/>
                <w:b w:val="0"/>
                <w:bCs w:val="0"/>
              </w:rPr>
              <w:t>1</w:t>
            </w:r>
          </w:p>
        </w:tc>
      </w:tr>
      <w:tr w14:paraId="1E100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1" w:type="dxa"/>
          </w:tcPr>
          <w:p w14:paraId="219B97C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37" w:type="dxa"/>
            <w:vAlign w:val="center"/>
          </w:tcPr>
          <w:p w14:paraId="691B9A57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bookmarkStart w:id="2" w:name="OLE_LINK3"/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GIF-H290</w:t>
            </w:r>
            <w:bookmarkEnd w:id="2"/>
          </w:p>
        </w:tc>
        <w:tc>
          <w:tcPr>
            <w:tcW w:w="2462" w:type="dxa"/>
            <w:vAlign w:val="center"/>
          </w:tcPr>
          <w:p w14:paraId="62FCFA02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4</w:t>
            </w:r>
          </w:p>
        </w:tc>
      </w:tr>
      <w:tr w14:paraId="1FB8C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191" w:type="dxa"/>
          </w:tcPr>
          <w:p w14:paraId="5A4D59C7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37" w:type="dxa"/>
          </w:tcPr>
          <w:p w14:paraId="6479FAD6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GIF-Q260J</w:t>
            </w:r>
          </w:p>
        </w:tc>
        <w:tc>
          <w:tcPr>
            <w:tcW w:w="2462" w:type="dxa"/>
            <w:vAlign w:val="center"/>
          </w:tcPr>
          <w:p w14:paraId="3698D1E3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4</w:t>
            </w:r>
          </w:p>
        </w:tc>
      </w:tr>
      <w:tr w14:paraId="22174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191" w:type="dxa"/>
          </w:tcPr>
          <w:p w14:paraId="68CC9AB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37" w:type="dxa"/>
            <w:vAlign w:val="center"/>
          </w:tcPr>
          <w:p w14:paraId="0C598202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GIF-H260</w:t>
            </w:r>
          </w:p>
        </w:tc>
        <w:tc>
          <w:tcPr>
            <w:tcW w:w="2462" w:type="dxa"/>
            <w:vAlign w:val="center"/>
          </w:tcPr>
          <w:p w14:paraId="60DD3A6D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4BAD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1" w:type="dxa"/>
          </w:tcPr>
          <w:p w14:paraId="6A00D01E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37" w:type="dxa"/>
            <w:vAlign w:val="center"/>
          </w:tcPr>
          <w:p w14:paraId="3C3CF780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GIF-HQ290</w:t>
            </w:r>
          </w:p>
        </w:tc>
        <w:tc>
          <w:tcPr>
            <w:tcW w:w="2462" w:type="dxa"/>
            <w:vAlign w:val="center"/>
          </w:tcPr>
          <w:p w14:paraId="09EFB2DC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7A73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191" w:type="dxa"/>
          </w:tcPr>
          <w:p w14:paraId="08261E57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37" w:type="dxa"/>
            <w:vAlign w:val="center"/>
          </w:tcPr>
          <w:p w14:paraId="396699DE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GIF-H260Z</w:t>
            </w:r>
          </w:p>
        </w:tc>
        <w:tc>
          <w:tcPr>
            <w:tcW w:w="2462" w:type="dxa"/>
            <w:vAlign w:val="center"/>
          </w:tcPr>
          <w:p w14:paraId="30299E36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2A9D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1" w:type="dxa"/>
          </w:tcPr>
          <w:p w14:paraId="7E956B74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37" w:type="dxa"/>
            <w:vAlign w:val="center"/>
          </w:tcPr>
          <w:p w14:paraId="454835F4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GIF-H290Z</w:t>
            </w:r>
          </w:p>
        </w:tc>
        <w:tc>
          <w:tcPr>
            <w:tcW w:w="2462" w:type="dxa"/>
            <w:vAlign w:val="center"/>
          </w:tcPr>
          <w:p w14:paraId="7E4AB25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012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191" w:type="dxa"/>
          </w:tcPr>
          <w:p w14:paraId="6D6E3F65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电子结肠镜</w:t>
            </w:r>
          </w:p>
        </w:tc>
        <w:tc>
          <w:tcPr>
            <w:tcW w:w="2437" w:type="dxa"/>
            <w:vAlign w:val="center"/>
          </w:tcPr>
          <w:p w14:paraId="398304D8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CF-Q260AI</w:t>
            </w:r>
          </w:p>
        </w:tc>
        <w:tc>
          <w:tcPr>
            <w:tcW w:w="2462" w:type="dxa"/>
            <w:vAlign w:val="center"/>
          </w:tcPr>
          <w:p w14:paraId="725DB5B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003A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1" w:type="dxa"/>
          </w:tcPr>
          <w:p w14:paraId="194BCAB2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电子结肠镜</w:t>
            </w:r>
          </w:p>
        </w:tc>
        <w:tc>
          <w:tcPr>
            <w:tcW w:w="2437" w:type="dxa"/>
            <w:vAlign w:val="center"/>
          </w:tcPr>
          <w:p w14:paraId="0BABC4B1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CF-H260AI</w:t>
            </w:r>
          </w:p>
        </w:tc>
        <w:tc>
          <w:tcPr>
            <w:tcW w:w="2462" w:type="dxa"/>
            <w:vAlign w:val="center"/>
          </w:tcPr>
          <w:p w14:paraId="57A56C5A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 w14:paraId="70C83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191" w:type="dxa"/>
          </w:tcPr>
          <w:p w14:paraId="738F34D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ascii="宋体" w:hAnsi="宋体" w:cs="微软雅黑"/>
                <w:b w:val="0"/>
                <w:bCs w:val="0"/>
                <w:lang w:bidi="ar"/>
              </w:rPr>
              <w:t>电子结肠镜</w:t>
            </w:r>
          </w:p>
        </w:tc>
        <w:tc>
          <w:tcPr>
            <w:tcW w:w="2437" w:type="dxa"/>
            <w:vAlign w:val="center"/>
          </w:tcPr>
          <w:p w14:paraId="57EC36F0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PCF-Q260JI</w:t>
            </w:r>
          </w:p>
        </w:tc>
        <w:tc>
          <w:tcPr>
            <w:tcW w:w="2462" w:type="dxa"/>
            <w:vAlign w:val="center"/>
          </w:tcPr>
          <w:p w14:paraId="1C046CA2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65CED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1" w:type="dxa"/>
          </w:tcPr>
          <w:p w14:paraId="463BD853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ascii="宋体" w:hAnsi="宋体" w:cs="微软雅黑"/>
                <w:b w:val="0"/>
                <w:bCs w:val="0"/>
                <w:lang w:bidi="ar"/>
              </w:rPr>
              <w:t>电子结肠镜</w:t>
            </w:r>
          </w:p>
        </w:tc>
        <w:tc>
          <w:tcPr>
            <w:tcW w:w="2437" w:type="dxa"/>
            <w:vAlign w:val="center"/>
          </w:tcPr>
          <w:p w14:paraId="00E6B87B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CF-H290I</w:t>
            </w:r>
          </w:p>
        </w:tc>
        <w:tc>
          <w:tcPr>
            <w:tcW w:w="2462" w:type="dxa"/>
            <w:vAlign w:val="center"/>
          </w:tcPr>
          <w:p w14:paraId="2E3FEF5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E0ED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191" w:type="dxa"/>
          </w:tcPr>
          <w:p w14:paraId="7B744563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ascii="宋体" w:hAnsi="宋体" w:cs="微软雅黑"/>
                <w:b w:val="0"/>
                <w:bCs w:val="0"/>
                <w:lang w:bidi="ar"/>
              </w:rPr>
              <w:t>电子结肠镜</w:t>
            </w:r>
          </w:p>
        </w:tc>
        <w:tc>
          <w:tcPr>
            <w:tcW w:w="2437" w:type="dxa"/>
            <w:vAlign w:val="center"/>
          </w:tcPr>
          <w:p w14:paraId="3696D230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PCF-H290ZI</w:t>
            </w:r>
          </w:p>
        </w:tc>
        <w:tc>
          <w:tcPr>
            <w:tcW w:w="2462" w:type="dxa"/>
            <w:vAlign w:val="center"/>
          </w:tcPr>
          <w:p w14:paraId="530A5294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0170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1" w:type="dxa"/>
          </w:tcPr>
          <w:p w14:paraId="2ECA16B0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电子支气管镜</w:t>
            </w:r>
          </w:p>
        </w:tc>
        <w:tc>
          <w:tcPr>
            <w:tcW w:w="2437" w:type="dxa"/>
            <w:vAlign w:val="center"/>
          </w:tcPr>
          <w:p w14:paraId="19D53562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/>
                <w:b w:val="0"/>
                <w:bCs w:val="0"/>
              </w:rPr>
              <w:t>B</w:t>
            </w:r>
            <w:r>
              <w:rPr>
                <w:rFonts w:ascii="宋体" w:hAnsi="宋体"/>
                <w:b w:val="0"/>
                <w:bCs w:val="0"/>
              </w:rPr>
              <w:t>F-6C</w:t>
            </w:r>
            <w:r>
              <w:rPr>
                <w:rFonts w:hint="eastAsia" w:ascii="宋体" w:hAnsi="宋体"/>
                <w:b w:val="0"/>
                <w:bCs w:val="0"/>
              </w:rPr>
              <w:t>260</w:t>
            </w:r>
          </w:p>
        </w:tc>
        <w:tc>
          <w:tcPr>
            <w:tcW w:w="2462" w:type="dxa"/>
            <w:vAlign w:val="center"/>
          </w:tcPr>
          <w:p w14:paraId="236DA31B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1</w:t>
            </w:r>
          </w:p>
        </w:tc>
      </w:tr>
      <w:tr w14:paraId="252E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191" w:type="dxa"/>
          </w:tcPr>
          <w:p w14:paraId="311CFD5B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电子支气管镜</w:t>
            </w:r>
          </w:p>
        </w:tc>
        <w:tc>
          <w:tcPr>
            <w:tcW w:w="2437" w:type="dxa"/>
            <w:vAlign w:val="center"/>
          </w:tcPr>
          <w:p w14:paraId="40305F3B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B</w:t>
            </w:r>
            <w:r>
              <w:rPr>
                <w:rFonts w:ascii="宋体" w:hAnsi="宋体" w:cs="微软雅黑"/>
                <w:b w:val="0"/>
                <w:bCs w:val="0"/>
                <w:lang w:bidi="ar"/>
              </w:rPr>
              <w:t>F-P260F</w:t>
            </w:r>
          </w:p>
        </w:tc>
        <w:tc>
          <w:tcPr>
            <w:tcW w:w="2462" w:type="dxa"/>
            <w:vAlign w:val="center"/>
          </w:tcPr>
          <w:p w14:paraId="1AC225BD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1</w:t>
            </w:r>
          </w:p>
        </w:tc>
      </w:tr>
      <w:tr w14:paraId="3DEA4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1" w:type="dxa"/>
          </w:tcPr>
          <w:p w14:paraId="72AC29A1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电子支气管镜</w:t>
            </w:r>
          </w:p>
        </w:tc>
        <w:tc>
          <w:tcPr>
            <w:tcW w:w="2437" w:type="dxa"/>
          </w:tcPr>
          <w:p w14:paraId="51C5F043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/>
                <w:b w:val="0"/>
                <w:bCs w:val="0"/>
              </w:rPr>
              <w:t>B</w:t>
            </w:r>
            <w:r>
              <w:rPr>
                <w:rFonts w:ascii="宋体" w:hAnsi="宋体"/>
                <w:b w:val="0"/>
                <w:bCs w:val="0"/>
              </w:rPr>
              <w:t>F-F260</w:t>
            </w:r>
          </w:p>
        </w:tc>
        <w:tc>
          <w:tcPr>
            <w:tcW w:w="2462" w:type="dxa"/>
            <w:vAlign w:val="center"/>
          </w:tcPr>
          <w:p w14:paraId="319F0E09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1</w:t>
            </w:r>
          </w:p>
        </w:tc>
      </w:tr>
      <w:tr w14:paraId="7C01D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1" w:type="dxa"/>
          </w:tcPr>
          <w:p w14:paraId="5184DFD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电子支气管镜</w:t>
            </w:r>
          </w:p>
        </w:tc>
        <w:tc>
          <w:tcPr>
            <w:tcW w:w="2437" w:type="dxa"/>
          </w:tcPr>
          <w:p w14:paraId="718D4DFE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/>
                <w:b w:val="0"/>
                <w:bCs w:val="0"/>
              </w:rPr>
              <w:t>B</w:t>
            </w:r>
            <w:r>
              <w:rPr>
                <w:rFonts w:ascii="宋体" w:hAnsi="宋体"/>
                <w:b w:val="0"/>
                <w:bCs w:val="0"/>
              </w:rPr>
              <w:t>F-1TQ290</w:t>
            </w:r>
          </w:p>
        </w:tc>
        <w:tc>
          <w:tcPr>
            <w:tcW w:w="2462" w:type="dxa"/>
            <w:vAlign w:val="center"/>
          </w:tcPr>
          <w:p w14:paraId="54F5FD43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color w:val="000000" w:themeColor="text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1</w:t>
            </w:r>
          </w:p>
        </w:tc>
      </w:tr>
      <w:tr w14:paraId="1A97C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191" w:type="dxa"/>
          </w:tcPr>
          <w:p w14:paraId="2459AA15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超声电子支气管镜</w:t>
            </w:r>
          </w:p>
        </w:tc>
        <w:tc>
          <w:tcPr>
            <w:tcW w:w="2437" w:type="dxa"/>
          </w:tcPr>
          <w:p w14:paraId="1EDEBFF9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ascii="宋体" w:hAnsi="宋体"/>
                <w:b w:val="0"/>
                <w:bCs w:val="0"/>
              </w:rPr>
              <w:t>BF-UC260FW</w:t>
            </w:r>
          </w:p>
        </w:tc>
        <w:tc>
          <w:tcPr>
            <w:tcW w:w="2462" w:type="dxa"/>
            <w:vAlign w:val="center"/>
          </w:tcPr>
          <w:p w14:paraId="62776CDA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1</w:t>
            </w:r>
          </w:p>
        </w:tc>
      </w:tr>
    </w:tbl>
    <w:p w14:paraId="1A083FFA">
      <w:pPr>
        <w:spacing w:line="360" w:lineRule="auto"/>
        <w:rPr>
          <w:rFonts w:hint="eastAsia" w:ascii="宋体" w:hAnsi="宋体"/>
          <w:sz w:val="24"/>
          <w:szCs w:val="24"/>
        </w:rPr>
      </w:pPr>
    </w:p>
    <w:p w14:paraId="3C5D4C14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</w:t>
      </w:r>
      <w:r>
        <w:rPr>
          <w:rFonts w:hint="eastAsia" w:ascii="宋体" w:hAnsi="宋体"/>
          <w:sz w:val="24"/>
          <w:szCs w:val="24"/>
          <w:lang w:val="en-US" w:eastAsia="zh-CN"/>
        </w:rPr>
        <w:t>茶亭院区</w:t>
      </w:r>
      <w:r>
        <w:rPr>
          <w:rFonts w:ascii="宋体" w:hAnsi="宋体"/>
          <w:sz w:val="24"/>
          <w:szCs w:val="24"/>
        </w:rPr>
        <w:t>以下2</w:t>
      </w:r>
      <w:r>
        <w:rPr>
          <w:rFonts w:hint="eastAsia" w:ascii="宋体" w:hAnsi="宋体"/>
          <w:sz w:val="24"/>
          <w:szCs w:val="24"/>
        </w:rPr>
        <w:t>0</w:t>
      </w:r>
      <w:r>
        <w:rPr>
          <w:rFonts w:ascii="宋体" w:hAnsi="宋体"/>
          <w:sz w:val="24"/>
          <w:szCs w:val="24"/>
        </w:rPr>
        <w:t>台设备，维保期</w:t>
      </w:r>
      <w:r>
        <w:rPr>
          <w:rFonts w:hint="eastAsia" w:ascii="宋体" w:hAnsi="宋体"/>
          <w:sz w:val="24"/>
          <w:szCs w:val="24"/>
        </w:rPr>
        <w:t>7个月</w:t>
      </w:r>
      <w:r>
        <w:rPr>
          <w:rFonts w:ascii="宋体" w:hAnsi="宋体"/>
          <w:sz w:val="24"/>
          <w:szCs w:val="24"/>
        </w:rPr>
        <w:t>。</w:t>
      </w:r>
    </w:p>
    <w:tbl>
      <w:tblPr>
        <w:tblStyle w:val="8"/>
        <w:tblW w:w="70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4"/>
        <w:gridCol w:w="2431"/>
        <w:gridCol w:w="2464"/>
      </w:tblGrid>
      <w:tr w14:paraId="2FBFB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94" w:type="dxa"/>
          </w:tcPr>
          <w:p w14:paraId="02AED2F9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设备名称</w:t>
            </w:r>
          </w:p>
        </w:tc>
        <w:tc>
          <w:tcPr>
            <w:tcW w:w="2431" w:type="dxa"/>
            <w:vAlign w:val="center"/>
          </w:tcPr>
          <w:p w14:paraId="07E04F49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型号</w:t>
            </w:r>
          </w:p>
        </w:tc>
        <w:tc>
          <w:tcPr>
            <w:tcW w:w="2464" w:type="dxa"/>
            <w:vAlign w:val="center"/>
          </w:tcPr>
          <w:p w14:paraId="434E592C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ascii="宋体" w:hAnsi="宋体" w:cs="微软雅黑"/>
                <w:b w:val="0"/>
                <w:bCs w:val="0"/>
                <w:lang w:bidi="ar"/>
              </w:rPr>
              <w:t>数量</w:t>
            </w:r>
          </w:p>
        </w:tc>
      </w:tr>
      <w:tr w14:paraId="44169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94" w:type="dxa"/>
          </w:tcPr>
          <w:p w14:paraId="132557B6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31" w:type="dxa"/>
          </w:tcPr>
          <w:p w14:paraId="1AA2901A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GIF-H290</w:t>
            </w:r>
          </w:p>
        </w:tc>
        <w:tc>
          <w:tcPr>
            <w:tcW w:w="2464" w:type="dxa"/>
            <w:vAlign w:val="center"/>
          </w:tcPr>
          <w:p w14:paraId="697EE4A6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3</w:t>
            </w:r>
          </w:p>
        </w:tc>
      </w:tr>
      <w:tr w14:paraId="69867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194" w:type="dxa"/>
          </w:tcPr>
          <w:p w14:paraId="32E7838E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31" w:type="dxa"/>
            <w:vAlign w:val="center"/>
          </w:tcPr>
          <w:p w14:paraId="76AE9C19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GIF-H260</w:t>
            </w:r>
          </w:p>
        </w:tc>
        <w:tc>
          <w:tcPr>
            <w:tcW w:w="2464" w:type="dxa"/>
            <w:vAlign w:val="center"/>
          </w:tcPr>
          <w:p w14:paraId="23A77028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2</w:t>
            </w:r>
          </w:p>
        </w:tc>
      </w:tr>
      <w:tr w14:paraId="5FF5F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194" w:type="dxa"/>
          </w:tcPr>
          <w:p w14:paraId="6FD22E31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电子胃镜</w:t>
            </w:r>
          </w:p>
        </w:tc>
        <w:tc>
          <w:tcPr>
            <w:tcW w:w="2431" w:type="dxa"/>
            <w:vAlign w:val="center"/>
          </w:tcPr>
          <w:p w14:paraId="6D42FA38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GIF-Q260J</w:t>
            </w:r>
          </w:p>
        </w:tc>
        <w:tc>
          <w:tcPr>
            <w:tcW w:w="2464" w:type="dxa"/>
            <w:vAlign w:val="center"/>
          </w:tcPr>
          <w:p w14:paraId="3D863041">
            <w:pPr>
              <w:widowControl/>
              <w:jc w:val="center"/>
              <w:textAlignment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2</w:t>
            </w:r>
          </w:p>
        </w:tc>
      </w:tr>
      <w:tr w14:paraId="2C045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94" w:type="dxa"/>
          </w:tcPr>
          <w:p w14:paraId="1B5A4FE6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电子十二指肠镜</w:t>
            </w:r>
          </w:p>
        </w:tc>
        <w:tc>
          <w:tcPr>
            <w:tcW w:w="2431" w:type="dxa"/>
            <w:vAlign w:val="center"/>
          </w:tcPr>
          <w:p w14:paraId="72B7E78B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TJF-260V</w:t>
            </w:r>
          </w:p>
        </w:tc>
        <w:tc>
          <w:tcPr>
            <w:tcW w:w="2464" w:type="dxa"/>
            <w:vAlign w:val="center"/>
          </w:tcPr>
          <w:p w14:paraId="143ABA28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4</w:t>
            </w:r>
          </w:p>
        </w:tc>
      </w:tr>
      <w:tr w14:paraId="28270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94" w:type="dxa"/>
          </w:tcPr>
          <w:p w14:paraId="3C8A2DE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ascii="宋体" w:hAnsi="宋体" w:cs="微软雅黑"/>
                <w:b w:val="0"/>
                <w:bCs w:val="0"/>
                <w:lang w:bidi="ar"/>
              </w:rPr>
              <w:t>电子结肠镜</w:t>
            </w:r>
          </w:p>
        </w:tc>
        <w:tc>
          <w:tcPr>
            <w:tcW w:w="2431" w:type="dxa"/>
            <w:vAlign w:val="center"/>
          </w:tcPr>
          <w:p w14:paraId="1C10FFB2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CF-H260AI</w:t>
            </w:r>
          </w:p>
        </w:tc>
        <w:tc>
          <w:tcPr>
            <w:tcW w:w="2464" w:type="dxa"/>
            <w:vAlign w:val="center"/>
          </w:tcPr>
          <w:p w14:paraId="532E0948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3</w:t>
            </w:r>
          </w:p>
        </w:tc>
      </w:tr>
      <w:tr w14:paraId="5E2C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94" w:type="dxa"/>
          </w:tcPr>
          <w:p w14:paraId="629AE085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ascii="宋体" w:hAnsi="宋体" w:cs="微软雅黑"/>
                <w:b w:val="0"/>
                <w:bCs w:val="0"/>
                <w:lang w:bidi="ar"/>
              </w:rPr>
              <w:t>电子结肠镜</w:t>
            </w:r>
          </w:p>
        </w:tc>
        <w:tc>
          <w:tcPr>
            <w:tcW w:w="2431" w:type="dxa"/>
            <w:vAlign w:val="center"/>
          </w:tcPr>
          <w:p w14:paraId="6AA43E7B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CF-HQ290I</w:t>
            </w:r>
          </w:p>
        </w:tc>
        <w:tc>
          <w:tcPr>
            <w:tcW w:w="2464" w:type="dxa"/>
            <w:vAlign w:val="center"/>
          </w:tcPr>
          <w:p w14:paraId="39FDF1AA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2</w:t>
            </w:r>
          </w:p>
        </w:tc>
      </w:tr>
      <w:tr w14:paraId="4B5CF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94" w:type="dxa"/>
          </w:tcPr>
          <w:p w14:paraId="3C556D1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ascii="宋体" w:hAnsi="宋体" w:cs="微软雅黑"/>
                <w:b w:val="0"/>
                <w:bCs w:val="0"/>
                <w:lang w:bidi="ar"/>
              </w:rPr>
              <w:t>电子结肠镜</w:t>
            </w:r>
          </w:p>
        </w:tc>
        <w:tc>
          <w:tcPr>
            <w:tcW w:w="2431" w:type="dxa"/>
            <w:vAlign w:val="center"/>
          </w:tcPr>
          <w:p w14:paraId="344803DF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CF-H290I</w:t>
            </w:r>
          </w:p>
        </w:tc>
        <w:tc>
          <w:tcPr>
            <w:tcW w:w="2464" w:type="dxa"/>
            <w:vAlign w:val="center"/>
          </w:tcPr>
          <w:p w14:paraId="49C95209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3</w:t>
            </w:r>
          </w:p>
        </w:tc>
      </w:tr>
      <w:tr w14:paraId="3D0DD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94" w:type="dxa"/>
          </w:tcPr>
          <w:p w14:paraId="13EF03D1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ascii="宋体" w:hAnsi="宋体" w:cs="微软雅黑"/>
                <w:b w:val="0"/>
                <w:bCs w:val="0"/>
                <w:lang w:bidi="ar"/>
              </w:rPr>
              <w:t>电子结肠镜</w:t>
            </w:r>
          </w:p>
        </w:tc>
        <w:tc>
          <w:tcPr>
            <w:tcW w:w="2431" w:type="dxa"/>
            <w:vAlign w:val="center"/>
          </w:tcPr>
          <w:p w14:paraId="53722DC9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PCF-Q260JI</w:t>
            </w:r>
          </w:p>
        </w:tc>
        <w:tc>
          <w:tcPr>
            <w:tcW w:w="2464" w:type="dxa"/>
            <w:vAlign w:val="center"/>
          </w:tcPr>
          <w:p w14:paraId="5E534F16">
            <w:pPr>
              <w:widowControl/>
              <w:jc w:val="center"/>
              <w:textAlignment w:val="center"/>
              <w:rPr>
                <w:rFonts w:hint="eastAsia" w:ascii="宋体" w:hAnsi="宋体" w:cs="微软雅黑"/>
                <w:b w:val="0"/>
                <w:bCs w:val="0"/>
                <w:lang w:bidi="ar"/>
              </w:rPr>
            </w:pPr>
            <w:r>
              <w:rPr>
                <w:rFonts w:hint="eastAsia" w:ascii="宋体" w:hAnsi="宋体" w:cs="微软雅黑"/>
                <w:b w:val="0"/>
                <w:bCs w:val="0"/>
                <w:lang w:bidi="ar"/>
              </w:rPr>
              <w:t>1</w:t>
            </w:r>
          </w:p>
        </w:tc>
      </w:tr>
    </w:tbl>
    <w:p w14:paraId="41753455">
      <w:pPr>
        <w:spacing w:line="360" w:lineRule="auto"/>
        <w:rPr>
          <w:rFonts w:hint="eastAsia" w:ascii="宋体" w:hAnsi="宋体"/>
          <w:sz w:val="24"/>
          <w:szCs w:val="24"/>
        </w:rPr>
      </w:pPr>
    </w:p>
    <w:p w14:paraId="70A128D3">
      <w:pPr>
        <w:spacing w:line="360" w:lineRule="auto"/>
        <w:rPr>
          <w:rFonts w:hint="eastAsia" w:ascii="宋体" w:hAnsi="宋体"/>
          <w:b w:val="0"/>
          <w:bCs w:val="0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4"/>
          <w:szCs w:val="24"/>
        </w:rPr>
        <w:t>维保范围：</w:t>
      </w:r>
      <w:r>
        <w:rPr>
          <w:rFonts w:ascii="宋体" w:hAnsi="宋体"/>
          <w:b w:val="0"/>
          <w:bCs w:val="0"/>
          <w:sz w:val="24"/>
          <w:szCs w:val="24"/>
          <w:shd w:val="clear" w:color="auto" w:fill="FFFFFF"/>
        </w:rPr>
        <w:t>内镜中心奥林巴斯内镜设备</w:t>
      </w:r>
      <w:r>
        <w:rPr>
          <w:rFonts w:hint="eastAsia" w:ascii="宋体" w:hAnsi="宋体"/>
          <w:b w:val="0"/>
          <w:bCs w:val="0"/>
          <w:sz w:val="24"/>
          <w:szCs w:val="24"/>
          <w:shd w:val="clear" w:color="auto" w:fill="FFFFFF"/>
        </w:rPr>
        <w:t>人工及配件全保保修服务。</w:t>
      </w:r>
    </w:p>
    <w:p w14:paraId="592CC9B9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供应商资格要求：</w:t>
      </w:r>
    </w:p>
    <w:p w14:paraId="2385FDA4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1、</w:t>
      </w:r>
      <w:r>
        <w:rPr>
          <w:rFonts w:hint="eastAsia" w:ascii="宋体" w:hAnsi="宋体"/>
          <w:b w:val="0"/>
          <w:bCs w:val="0"/>
          <w:sz w:val="24"/>
          <w:szCs w:val="24"/>
        </w:rPr>
        <w:t>具有独立法人资格，具有独立承担民事责任和履行合同能力，提供营业执照复印件并加盖公章；</w:t>
      </w:r>
    </w:p>
    <w:p w14:paraId="306797AE">
      <w:pPr>
        <w:pStyle w:val="11"/>
        <w:widowControl/>
        <w:shd w:val="clear" w:color="auto" w:fill="FFFFFF"/>
        <w:spacing w:line="360" w:lineRule="auto"/>
        <w:ind w:firstLine="0" w:firstLineChars="0"/>
        <w:jc w:val="left"/>
        <w:rPr>
          <w:rFonts w:hint="eastAsia" w:ascii="宋体" w:hAnsi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2、具备履行合同所必需设备和专业技术能力。</w:t>
      </w:r>
    </w:p>
    <w:p w14:paraId="67B9B99A">
      <w:pPr>
        <w:pStyle w:val="11"/>
        <w:widowControl/>
        <w:shd w:val="clear" w:color="auto" w:fill="FFFFFF"/>
        <w:spacing w:line="360" w:lineRule="auto"/>
        <w:ind w:firstLine="0" w:firstLineChars="0"/>
        <w:jc w:val="left"/>
        <w:rPr>
          <w:rFonts w:hint="eastAsia" w:ascii="宋体" w:hAnsi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3、投标人参加采购活动前3年内在经营活动中无行贿犯罪记录，没有重大违法记录。</w:t>
      </w:r>
    </w:p>
    <w:p w14:paraId="7C315131">
      <w:pPr>
        <w:spacing w:line="360" w:lineRule="auto"/>
        <w:rPr>
          <w:rFonts w:hint="eastAsia" w:ascii="宋体" w:hAnsi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供应商项目报价：</w:t>
      </w:r>
    </w:p>
    <w:p w14:paraId="38717DB4">
      <w:pPr>
        <w:spacing w:line="360" w:lineRule="auto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需包含维保服务人工费、配件费、运费、安装调试费、差旅费、税费等一切费用。</w:t>
      </w:r>
    </w:p>
    <w:p w14:paraId="1DEBB55D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项目维保的基本要求如下：</w:t>
      </w:r>
    </w:p>
    <w:p w14:paraId="67070276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bookmarkStart w:id="3" w:name="OLE_LINK5"/>
      <w:r>
        <w:rPr>
          <w:rFonts w:hint="eastAsia" w:ascii="宋体" w:hAnsi="宋体"/>
          <w:b w:val="0"/>
          <w:bCs w:val="0"/>
          <w:sz w:val="24"/>
          <w:szCs w:val="24"/>
        </w:rPr>
        <w:t>1、</w:t>
      </w:r>
      <w:r>
        <w:rPr>
          <w:rFonts w:ascii="宋体" w:hAnsi="宋体"/>
          <w:b w:val="0"/>
          <w:bCs w:val="0"/>
          <w:sz w:val="24"/>
          <w:szCs w:val="24"/>
        </w:rPr>
        <w:t>要求服务方具备长期稳定的服务机构，承担本项目的专业技术工程师人数≥4名</w:t>
      </w:r>
      <w:r>
        <w:rPr>
          <w:rFonts w:hint="eastAsia" w:ascii="宋体" w:hAnsi="宋体"/>
          <w:b w:val="0"/>
          <w:bCs w:val="0"/>
          <w:sz w:val="24"/>
          <w:szCs w:val="24"/>
        </w:rPr>
        <w:t>，</w:t>
      </w:r>
      <w:r>
        <w:rPr>
          <w:rFonts w:ascii="宋体" w:hAnsi="宋体"/>
          <w:b w:val="0"/>
          <w:bCs w:val="0"/>
          <w:sz w:val="24"/>
          <w:szCs w:val="24"/>
        </w:rPr>
        <w:t>相关工程师具有三年以上同类机器的维修经验，省内有常驻服务人员，遇到故障时能快速到场处理，保障临床诊疗工作正常开展。服务方需要具有提供备品的能力，至少具有电子胃镜、电子结肠镜、电子十二指肠镜、电子支气管镜</w:t>
      </w:r>
      <w:r>
        <w:rPr>
          <w:rFonts w:hint="eastAsia" w:ascii="宋体" w:hAnsi="宋体"/>
          <w:b w:val="0"/>
          <w:bCs w:val="0"/>
          <w:sz w:val="24"/>
          <w:szCs w:val="24"/>
        </w:rPr>
        <w:t>每种</w:t>
      </w:r>
      <w:r>
        <w:rPr>
          <w:rFonts w:ascii="宋体" w:hAnsi="宋体"/>
          <w:b w:val="0"/>
          <w:bCs w:val="0"/>
          <w:sz w:val="24"/>
          <w:szCs w:val="24"/>
        </w:rPr>
        <w:t>类型</w:t>
      </w:r>
      <w:r>
        <w:rPr>
          <w:rFonts w:hint="eastAsia" w:ascii="宋体" w:hAnsi="宋体"/>
          <w:b w:val="0"/>
          <w:bCs w:val="0"/>
          <w:sz w:val="24"/>
          <w:szCs w:val="24"/>
        </w:rPr>
        <w:t>各</w:t>
      </w:r>
      <w:r>
        <w:rPr>
          <w:rFonts w:ascii="宋体" w:hAnsi="宋体"/>
          <w:b w:val="0"/>
          <w:bCs w:val="0"/>
          <w:sz w:val="24"/>
          <w:szCs w:val="24"/>
        </w:rPr>
        <w:t>3台内窥镜备品，备品有合格证及其它合格证明材料。</w:t>
      </w:r>
    </w:p>
    <w:p w14:paraId="5FB9922D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2、在设备正常使用、正确操作情况下，供应商需保证设备的开机率不低于（98%），按全年365天计算。</w:t>
      </w:r>
    </w:p>
    <w:p w14:paraId="1766E685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ascii="宋体" w:hAnsi="宋体"/>
          <w:b w:val="0"/>
          <w:bCs w:val="0"/>
          <w:sz w:val="24"/>
          <w:szCs w:val="24"/>
        </w:rPr>
        <w:t>3、维保服务期内，当设备发生故障，接到报修</w:t>
      </w:r>
      <w:bookmarkStart w:id="4" w:name="OLE_LINK2"/>
      <w:r>
        <w:rPr>
          <w:rFonts w:ascii="宋体" w:hAnsi="宋体"/>
          <w:b w:val="0"/>
          <w:bCs w:val="0"/>
          <w:sz w:val="24"/>
          <w:szCs w:val="24"/>
        </w:rPr>
        <w:t>通知</w:t>
      </w:r>
      <w:bookmarkEnd w:id="4"/>
      <w:r>
        <w:rPr>
          <w:rFonts w:ascii="宋体" w:hAnsi="宋体"/>
          <w:b w:val="0"/>
          <w:bCs w:val="0"/>
          <w:sz w:val="24"/>
          <w:szCs w:val="24"/>
        </w:rPr>
        <w:t>后，</w:t>
      </w:r>
      <w:bookmarkStart w:id="5" w:name="OLE_LINK4"/>
      <w:r>
        <w:rPr>
          <w:rFonts w:ascii="宋体" w:hAnsi="宋体"/>
          <w:b w:val="0"/>
          <w:bCs w:val="0"/>
          <w:sz w:val="24"/>
          <w:szCs w:val="24"/>
        </w:rPr>
        <w:t>服务商</w:t>
      </w:r>
      <w:bookmarkEnd w:id="5"/>
      <w:r>
        <w:rPr>
          <w:rFonts w:ascii="宋体" w:hAnsi="宋体"/>
          <w:b w:val="0"/>
          <w:bCs w:val="0"/>
          <w:sz w:val="24"/>
          <w:szCs w:val="24"/>
        </w:rPr>
        <w:t>应</w:t>
      </w:r>
      <w:r>
        <w:rPr>
          <w:rFonts w:hint="eastAsia" w:ascii="宋体" w:hAnsi="宋体"/>
          <w:b w:val="0"/>
          <w:bCs w:val="0"/>
          <w:sz w:val="24"/>
          <w:szCs w:val="24"/>
        </w:rPr>
        <w:t>在1小时内</w:t>
      </w:r>
      <w:r>
        <w:rPr>
          <w:rFonts w:ascii="宋体" w:hAnsi="宋体"/>
          <w:b w:val="0"/>
          <w:bCs w:val="0"/>
          <w:sz w:val="24"/>
          <w:szCs w:val="24"/>
        </w:rPr>
        <w:t>响应，24小时内派遣技术人员到达现场进行处置。需要寄回维修站的，由服务商打包装箱寄出，确保运输过程不会对设备造成损坏。</w:t>
      </w:r>
    </w:p>
    <w:p w14:paraId="3A063EF5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4、</w:t>
      </w:r>
      <w:r>
        <w:rPr>
          <w:rFonts w:ascii="宋体" w:hAnsi="宋体"/>
          <w:b w:val="0"/>
          <w:bCs w:val="0"/>
          <w:sz w:val="24"/>
        </w:rPr>
        <w:t>当设备发生故障，接到报修通知后，</w:t>
      </w:r>
      <w:r>
        <w:rPr>
          <w:rFonts w:hint="eastAsia" w:ascii="宋体" w:hAnsi="宋体"/>
          <w:b w:val="0"/>
          <w:bCs w:val="0"/>
          <w:sz w:val="24"/>
        </w:rPr>
        <w:t>服务</w:t>
      </w:r>
      <w:r>
        <w:rPr>
          <w:rFonts w:ascii="宋体" w:hAnsi="宋体"/>
          <w:b w:val="0"/>
          <w:bCs w:val="0"/>
          <w:sz w:val="24"/>
        </w:rPr>
        <w:t>商若无法在</w:t>
      </w:r>
      <w:r>
        <w:rPr>
          <w:rFonts w:hint="eastAsia" w:ascii="宋体" w:hAnsi="宋体"/>
          <w:b w:val="0"/>
          <w:bCs w:val="0"/>
          <w:sz w:val="24"/>
        </w:rPr>
        <w:t>3</w:t>
      </w:r>
      <w:r>
        <w:rPr>
          <w:rFonts w:ascii="宋体" w:hAnsi="宋体"/>
          <w:b w:val="0"/>
          <w:bCs w:val="0"/>
          <w:sz w:val="24"/>
        </w:rPr>
        <w:t>日内修复设备</w:t>
      </w:r>
      <w:r>
        <w:rPr>
          <w:rFonts w:hint="eastAsia" w:ascii="宋体" w:hAnsi="宋体"/>
          <w:b w:val="0"/>
          <w:bCs w:val="0"/>
          <w:sz w:val="24"/>
        </w:rPr>
        <w:t>，</w:t>
      </w:r>
      <w:r>
        <w:rPr>
          <w:rFonts w:hint="eastAsia" w:ascii="宋体" w:hAnsi="宋体"/>
          <w:b w:val="0"/>
          <w:bCs w:val="0"/>
          <w:sz w:val="24"/>
          <w:szCs w:val="24"/>
        </w:rPr>
        <w:t>需提供同型号的奥林巴斯电子内镜，从接到报修通知起3日内到货，以保证临床工作正常开展，否则视为违约</w:t>
      </w:r>
      <w:bookmarkStart w:id="6" w:name="OLE_LINK1"/>
      <w:r>
        <w:rPr>
          <w:rFonts w:hint="eastAsia" w:ascii="宋体" w:hAnsi="宋体"/>
          <w:b w:val="0"/>
          <w:bCs w:val="0"/>
          <w:sz w:val="24"/>
          <w:szCs w:val="24"/>
        </w:rPr>
        <w:t>。</w:t>
      </w:r>
      <w:bookmarkEnd w:id="6"/>
    </w:p>
    <w:p w14:paraId="253BF839">
      <w:pPr>
        <w:pStyle w:val="11"/>
        <w:widowControl/>
        <w:shd w:val="clear" w:color="auto" w:fill="FFFFFF"/>
        <w:spacing w:line="360" w:lineRule="auto"/>
        <w:ind w:firstLine="0" w:firstLineChars="0"/>
        <w:jc w:val="left"/>
        <w:rPr>
          <w:rFonts w:hint="eastAsia" w:ascii="宋体" w:hAnsi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5、</w:t>
      </w:r>
      <w:r>
        <w:rPr>
          <w:rFonts w:ascii="宋体" w:hAnsi="宋体"/>
          <w:b w:val="0"/>
          <w:bCs w:val="0"/>
          <w:kern w:val="0"/>
          <w:sz w:val="24"/>
          <w:szCs w:val="24"/>
        </w:rPr>
        <w:t>超声电子内镜</w:t>
      </w: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（</w:t>
      </w:r>
      <w:r>
        <w:rPr>
          <w:rFonts w:ascii="宋体" w:hAnsi="宋体"/>
          <w:b w:val="0"/>
          <w:bCs w:val="0"/>
          <w:kern w:val="0"/>
          <w:sz w:val="24"/>
          <w:szCs w:val="24"/>
        </w:rPr>
        <w:t>包括</w:t>
      </w: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2</w:t>
      </w:r>
      <w:r>
        <w:rPr>
          <w:rFonts w:ascii="宋体" w:hAnsi="宋体"/>
          <w:b w:val="0"/>
          <w:bCs w:val="0"/>
          <w:kern w:val="0"/>
          <w:sz w:val="24"/>
          <w:szCs w:val="24"/>
        </w:rPr>
        <w:t>把超声电子支气管镜和</w:t>
      </w: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1</w:t>
      </w:r>
      <w:r>
        <w:rPr>
          <w:rFonts w:ascii="宋体" w:hAnsi="宋体"/>
          <w:b w:val="0"/>
          <w:bCs w:val="0"/>
          <w:kern w:val="0"/>
          <w:sz w:val="24"/>
          <w:szCs w:val="24"/>
        </w:rPr>
        <w:t>把超声电子胃镜</w:t>
      </w: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）</w:t>
      </w:r>
      <w:r>
        <w:rPr>
          <w:rFonts w:hint="eastAsia" w:ascii="宋体" w:hAnsi="宋体"/>
          <w:b w:val="0"/>
          <w:bCs w:val="0"/>
          <w:sz w:val="24"/>
          <w:szCs w:val="24"/>
        </w:rPr>
        <w:t>维保服务</w:t>
      </w: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要求维修时所更换的零配件为设备制造厂商原厂的、全新的、同型号合格零配件，不得使用翻新或非原厂的零配件</w:t>
      </w:r>
      <w:r>
        <w:rPr>
          <w:rFonts w:hint="eastAsia" w:ascii="宋体" w:hAnsi="宋体"/>
          <w:b w:val="0"/>
          <w:bCs w:val="0"/>
          <w:sz w:val="24"/>
          <w:szCs w:val="24"/>
        </w:rPr>
        <w:t>。维修期间需提供同型号的奥林巴斯超声电子内镜，</w:t>
      </w:r>
      <w:r>
        <w:rPr>
          <w:b w:val="0"/>
          <w:bCs w:val="0"/>
          <w:sz w:val="24"/>
          <w:szCs w:val="24"/>
        </w:rPr>
        <w:t>所提供的备用</w:t>
      </w:r>
      <w:r>
        <w:rPr>
          <w:rFonts w:hint="eastAsia"/>
          <w:b w:val="0"/>
          <w:bCs w:val="0"/>
          <w:sz w:val="24"/>
          <w:szCs w:val="24"/>
        </w:rPr>
        <w:t>品</w:t>
      </w:r>
      <w:r>
        <w:rPr>
          <w:b w:val="0"/>
          <w:bCs w:val="0"/>
          <w:sz w:val="24"/>
          <w:szCs w:val="24"/>
        </w:rPr>
        <w:t>来源渠道合法，</w:t>
      </w:r>
      <w:r>
        <w:rPr>
          <w:rFonts w:hint="eastAsia"/>
          <w:b w:val="0"/>
          <w:bCs w:val="0"/>
          <w:sz w:val="24"/>
          <w:szCs w:val="24"/>
        </w:rPr>
        <w:t>有相关合格证明文件材料，且</w:t>
      </w:r>
      <w:r>
        <w:rPr>
          <w:b w:val="0"/>
          <w:bCs w:val="0"/>
          <w:sz w:val="24"/>
          <w:szCs w:val="24"/>
        </w:rPr>
        <w:t>备用</w:t>
      </w:r>
      <w:r>
        <w:rPr>
          <w:rFonts w:hint="eastAsia"/>
          <w:b w:val="0"/>
          <w:bCs w:val="0"/>
          <w:sz w:val="24"/>
          <w:szCs w:val="24"/>
        </w:rPr>
        <w:t>品在原厂规定的医疗器械使用期限内</w:t>
      </w:r>
      <w:r>
        <w:rPr>
          <w:rFonts w:hint="eastAsia" w:ascii="宋体" w:hAnsi="宋体"/>
          <w:b w:val="0"/>
          <w:bCs w:val="0"/>
          <w:sz w:val="24"/>
          <w:szCs w:val="24"/>
        </w:rPr>
        <w:t>，</w:t>
      </w:r>
      <w:r>
        <w:rPr>
          <w:rFonts w:ascii="宋体" w:hAnsi="宋体"/>
          <w:b w:val="0"/>
          <w:bCs w:val="0"/>
          <w:sz w:val="24"/>
          <w:szCs w:val="24"/>
          <w14:ligatures w14:val="standardContextual"/>
        </w:rPr>
        <w:t>以保证临床工作正常开展</w:t>
      </w:r>
      <w:r>
        <w:rPr>
          <w:rFonts w:hint="eastAsia" w:ascii="宋体" w:hAnsi="宋体"/>
          <w:b w:val="0"/>
          <w:bCs w:val="0"/>
          <w:sz w:val="24"/>
          <w:szCs w:val="24"/>
        </w:rPr>
        <w:t>，</w:t>
      </w: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否则视为</w:t>
      </w:r>
      <w:bookmarkStart w:id="7" w:name="_GoBack"/>
      <w:bookmarkEnd w:id="7"/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违约。</w:t>
      </w:r>
    </w:p>
    <w:p w14:paraId="1C94F34F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6</w:t>
      </w:r>
      <w:r>
        <w:rPr>
          <w:rFonts w:ascii="宋体" w:hAnsi="宋体"/>
          <w:b w:val="0"/>
          <w:bCs w:val="0"/>
          <w:sz w:val="24"/>
          <w:szCs w:val="24"/>
        </w:rPr>
        <w:t>、维保服务期内，服务商需派专业技术人员到设备所在地对所有设备进行检查、维护与保养，</w:t>
      </w:r>
      <w:r>
        <w:rPr>
          <w:rFonts w:hint="eastAsia" w:ascii="宋体" w:hAnsi="宋体"/>
          <w:b w:val="0"/>
          <w:bCs w:val="0"/>
          <w:sz w:val="24"/>
          <w:szCs w:val="24"/>
        </w:rPr>
        <w:t>包括</w:t>
      </w:r>
      <w:r>
        <w:rPr>
          <w:rFonts w:ascii="宋体" w:hAnsi="宋体"/>
          <w:b w:val="0"/>
          <w:bCs w:val="0"/>
          <w:sz w:val="24"/>
          <w:szCs w:val="24"/>
        </w:rPr>
        <w:t>现场点检测漏工作，并出具点检报告，频次为所有设备每月至少1次。</w:t>
      </w:r>
    </w:p>
    <w:p w14:paraId="78B8E776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7、</w:t>
      </w:r>
      <w:r>
        <w:rPr>
          <w:rFonts w:ascii="宋体" w:hAnsi="宋体"/>
          <w:b w:val="0"/>
          <w:bCs w:val="0"/>
          <w:sz w:val="24"/>
          <w:szCs w:val="24"/>
        </w:rPr>
        <w:t>服务方应无理由接受签订合同时设备的现状，且对现有设备提供维保服务。维保期内，服务方承担因维修产生的全部费用，包含各种原因导致的设备故障（例如因人为或非人为因素导致的</w:t>
      </w:r>
      <w:r>
        <w:rPr>
          <w:rFonts w:hint="eastAsia" w:ascii="宋体" w:hAnsi="宋体"/>
          <w:b w:val="0"/>
          <w:bCs w:val="0"/>
          <w:sz w:val="24"/>
          <w:szCs w:val="24"/>
        </w:rPr>
        <w:t>CCD</w:t>
      </w:r>
      <w:r>
        <w:rPr>
          <w:rFonts w:ascii="宋体" w:hAnsi="宋体"/>
          <w:b w:val="0"/>
          <w:bCs w:val="0"/>
          <w:sz w:val="24"/>
          <w:szCs w:val="24"/>
        </w:rPr>
        <w:t>故障等）</w:t>
      </w:r>
      <w:r>
        <w:rPr>
          <w:rFonts w:hint="eastAsia" w:ascii="宋体" w:hAnsi="宋体"/>
          <w:b w:val="0"/>
          <w:bCs w:val="0"/>
          <w:sz w:val="24"/>
          <w:szCs w:val="24"/>
        </w:rPr>
        <w:t>。</w:t>
      </w:r>
    </w:p>
    <w:p w14:paraId="4B740BDB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8、</w:t>
      </w:r>
      <w:r>
        <w:rPr>
          <w:rFonts w:ascii="宋体" w:hAnsi="宋体"/>
          <w:b w:val="0"/>
          <w:bCs w:val="0"/>
          <w:sz w:val="24"/>
          <w:szCs w:val="24"/>
        </w:rPr>
        <w:t>每次设备维修后需出具维修报告，维保期结束后，服务方要将全年设备维修次数及维保巡检内容汇总成报告</w:t>
      </w:r>
      <w:r>
        <w:rPr>
          <w:rFonts w:hint="eastAsia" w:ascii="宋体" w:hAnsi="宋体"/>
          <w:b w:val="0"/>
          <w:bCs w:val="0"/>
          <w:sz w:val="24"/>
          <w:szCs w:val="24"/>
        </w:rPr>
        <w:t>文件</w:t>
      </w:r>
      <w:r>
        <w:rPr>
          <w:rFonts w:ascii="宋体" w:hAnsi="宋体"/>
          <w:b w:val="0"/>
          <w:bCs w:val="0"/>
          <w:sz w:val="24"/>
          <w:szCs w:val="24"/>
        </w:rPr>
        <w:t>，交用户存档。</w:t>
      </w:r>
    </w:p>
    <w:p w14:paraId="3DF7B018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9、</w:t>
      </w:r>
      <w:r>
        <w:rPr>
          <w:rFonts w:ascii="宋体" w:hAnsi="宋体"/>
          <w:b w:val="0"/>
          <w:bCs w:val="0"/>
          <w:sz w:val="24"/>
          <w:szCs w:val="24"/>
        </w:rPr>
        <w:t>设备同一故障反复维修</w:t>
      </w:r>
      <w:r>
        <w:rPr>
          <w:rFonts w:hint="eastAsia" w:ascii="宋体" w:hAnsi="宋体"/>
          <w:b w:val="0"/>
          <w:bCs w:val="0"/>
          <w:sz w:val="24"/>
          <w:szCs w:val="24"/>
        </w:rPr>
        <w:t>2</w:t>
      </w:r>
      <w:r>
        <w:rPr>
          <w:rFonts w:ascii="宋体" w:hAnsi="宋体"/>
          <w:b w:val="0"/>
          <w:bCs w:val="0"/>
          <w:sz w:val="24"/>
          <w:szCs w:val="24"/>
        </w:rPr>
        <w:t>次以上仍无法达到生产厂家合格标准，无法满足临床使用要求的，采购方有权委托其他服务供应方进行维修，所产生全部费用由中标方承担。</w:t>
      </w:r>
    </w:p>
    <w:p w14:paraId="51267246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10、</w:t>
      </w:r>
      <w:r>
        <w:rPr>
          <w:rFonts w:ascii="宋体" w:hAnsi="宋体"/>
          <w:b w:val="0"/>
          <w:bCs w:val="0"/>
          <w:sz w:val="24"/>
          <w:szCs w:val="24"/>
        </w:rPr>
        <w:t>本次保修服务范围包括表格中所包含的电子内镜设备整机，以及送气送水按钮。</w:t>
      </w:r>
    </w:p>
    <w:p w14:paraId="7F25A62E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</w:p>
    <w:p w14:paraId="5D59A408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</w:p>
    <w:p w14:paraId="4519A655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</w:p>
    <w:p w14:paraId="4AC25482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</w:p>
    <w:bookmarkEnd w:id="3"/>
    <w:p w14:paraId="5DEA221A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</w:p>
    <w:p w14:paraId="60A8B8D8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</w:p>
    <w:p w14:paraId="03E970E7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</w:p>
    <w:p w14:paraId="7C034915">
      <w:pPr>
        <w:spacing w:line="360" w:lineRule="auto"/>
        <w:jc w:val="left"/>
        <w:rPr>
          <w:rFonts w:hint="eastAsia" w:ascii="宋体" w:hAnsi="宋体"/>
          <w:b w:val="0"/>
          <w:bCs w:val="0"/>
          <w:sz w:val="24"/>
          <w:szCs w:val="24"/>
        </w:rPr>
      </w:pPr>
    </w:p>
    <w:p w14:paraId="06266A39">
      <w:pPr>
        <w:widowControl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br w:type="page"/>
      </w:r>
    </w:p>
    <w:p w14:paraId="2CB07400">
      <w:pPr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附件二：</w:t>
      </w:r>
    </w:p>
    <w:p w14:paraId="35358838">
      <w:pPr>
        <w:pStyle w:val="5"/>
        <w:widowControl/>
        <w:spacing w:beforeAutospacing="0" w:afterAutospacing="0" w:line="360" w:lineRule="auto"/>
        <w:rPr>
          <w:rFonts w:hint="eastAsia"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福建医科大学附属第一医院：</w:t>
      </w:r>
    </w:p>
    <w:p w14:paraId="5B5BF40A">
      <w:pPr>
        <w:pStyle w:val="5"/>
        <w:widowControl/>
        <w:spacing w:beforeAutospacing="0" w:afterAutospacing="0" w:line="360" w:lineRule="auto"/>
        <w:rPr>
          <w:rFonts w:hint="eastAsia" w:ascii="宋体" w:hAnsi="宋体" w:cs="宋体"/>
          <w:b w:val="0"/>
          <w:bCs w:val="0"/>
          <w:szCs w:val="24"/>
        </w:rPr>
      </w:pPr>
      <w:r>
        <w:rPr>
          <w:rFonts w:hint="eastAsia" w:ascii="宋体" w:hAnsi="宋体" w:cs="宋体"/>
          <w:b w:val="0"/>
          <w:bCs w:val="0"/>
          <w:szCs w:val="24"/>
        </w:rPr>
        <w:t>本公司自愿参与贵院</w:t>
      </w:r>
      <w:r>
        <w:rPr>
          <w:rFonts w:hint="eastAsia" w:ascii="宋体" w:hAnsi="宋体" w:cs="宋体"/>
          <w:b w:val="0"/>
          <w:bCs w:val="0"/>
          <w:szCs w:val="24"/>
          <w:u w:val="single"/>
        </w:rPr>
        <w:t xml:space="preserve">                                     </w:t>
      </w:r>
      <w:r>
        <w:rPr>
          <w:rFonts w:hint="eastAsia" w:ascii="宋体" w:hAnsi="宋体" w:cs="宋体"/>
          <w:b w:val="0"/>
          <w:bCs w:val="0"/>
          <w:szCs w:val="24"/>
        </w:rPr>
        <w:t>项目调研论证，在此郑重承诺本公司持有合法的企业营业执照，以下相关材料内容真实、合法、有效。</w:t>
      </w:r>
    </w:p>
    <w:p w14:paraId="0B67F1A5">
      <w:pPr>
        <w:spacing w:line="360" w:lineRule="auto"/>
        <w:rPr>
          <w:rFonts w:hint="eastAsia" w:ascii="宋体" w:hAnsi="宋体"/>
          <w:b w:val="0"/>
          <w:bCs w:val="0"/>
          <w:kern w:val="0"/>
          <w:sz w:val="24"/>
          <w:szCs w:val="24"/>
        </w:rPr>
      </w:pPr>
      <w:r>
        <w:rPr>
          <w:rFonts w:hint="eastAsia" w:ascii="宋体" w:hAnsi="宋体"/>
          <w:b w:val="0"/>
          <w:bCs w:val="0"/>
          <w:sz w:val="24"/>
          <w:szCs w:val="24"/>
        </w:rPr>
        <w:t>一、</w:t>
      </w:r>
      <w:r>
        <w:rPr>
          <w:rFonts w:hint="eastAsia" w:ascii="宋体" w:hAnsi="宋体"/>
          <w:b w:val="0"/>
          <w:bCs w:val="0"/>
          <w:kern w:val="0"/>
          <w:sz w:val="24"/>
          <w:szCs w:val="24"/>
        </w:rPr>
        <w:t>营业执照复印件并加盖公章</w:t>
      </w:r>
    </w:p>
    <w:p w14:paraId="2B3C5039">
      <w:pPr>
        <w:spacing w:line="360" w:lineRule="auto"/>
        <w:rPr>
          <w:rFonts w:hint="eastAsia" w:ascii="宋体" w:hAnsi="宋体"/>
          <w:kern w:val="0"/>
          <w:sz w:val="24"/>
          <w:szCs w:val="24"/>
        </w:rPr>
      </w:pPr>
    </w:p>
    <w:p w14:paraId="00F8B0F2">
      <w:pPr>
        <w:rPr>
          <w:rFonts w:hint="eastAsia" w:ascii="宋体" w:hAnsi="宋体"/>
          <w:kern w:val="0"/>
          <w:sz w:val="24"/>
          <w:szCs w:val="24"/>
        </w:rPr>
      </w:pPr>
    </w:p>
    <w:p w14:paraId="619B6EF7">
      <w:pPr>
        <w:pStyle w:val="6"/>
        <w:ind w:left="0" w:leftChars="0" w:firstLine="0" w:firstLineChars="0"/>
        <w:rPr>
          <w:rFonts w:hint="eastAsia" w:ascii="宋体" w:hAnsi="宋体" w:cs="宋体"/>
          <w:b w:val="0"/>
          <w:bCs w:val="0"/>
          <w:sz w:val="24"/>
        </w:rPr>
      </w:pPr>
    </w:p>
    <w:p w14:paraId="68F860FA">
      <w:pPr>
        <w:pStyle w:val="6"/>
        <w:ind w:left="0" w:leftChars="0" w:firstLine="0" w:firstLineChars="0"/>
        <w:rPr>
          <w:rFonts w:hint="eastAsia" w:ascii="宋体" w:hAnsi="宋体" w:cs="宋体"/>
          <w:b w:val="0"/>
          <w:bCs w:val="0"/>
          <w:sz w:val="24"/>
        </w:rPr>
      </w:pPr>
      <w:r>
        <w:rPr>
          <w:rFonts w:hint="eastAsia" w:ascii="宋体" w:hAnsi="宋体" w:cs="宋体"/>
          <w:b w:val="0"/>
          <w:bCs w:val="0"/>
          <w:sz w:val="24"/>
        </w:rPr>
        <w:t>二、供应商项目报价：</w:t>
      </w:r>
    </w:p>
    <w:p w14:paraId="5FE584D2">
      <w:pPr>
        <w:pStyle w:val="6"/>
        <w:ind w:left="0" w:leftChars="0" w:firstLine="0" w:firstLineChars="0"/>
        <w:rPr>
          <w:rFonts w:hint="eastAsia" w:ascii="宋体" w:hAnsi="宋体" w:cs="宋体"/>
          <w:b w:val="0"/>
          <w:bCs w:val="0"/>
          <w:sz w:val="24"/>
        </w:rPr>
      </w:pPr>
    </w:p>
    <w:p w14:paraId="1B8539CD">
      <w:pPr>
        <w:pStyle w:val="6"/>
        <w:ind w:left="0" w:leftChars="0" w:firstLine="0" w:firstLineChars="0"/>
        <w:rPr>
          <w:rFonts w:hint="eastAsia" w:ascii="宋体" w:hAnsi="宋体" w:cs="宋体"/>
          <w:b w:val="0"/>
          <w:bCs w:val="0"/>
          <w:sz w:val="24"/>
        </w:rPr>
      </w:pPr>
    </w:p>
    <w:p w14:paraId="42E75ECB">
      <w:pPr>
        <w:pStyle w:val="6"/>
        <w:ind w:left="0" w:leftChars="0" w:firstLine="0" w:firstLineChars="0"/>
        <w:rPr>
          <w:rFonts w:hint="eastAsia" w:ascii="宋体" w:hAnsi="宋体" w:cs="宋体"/>
          <w:b w:val="0"/>
          <w:bCs w:val="0"/>
          <w:sz w:val="24"/>
        </w:rPr>
      </w:pPr>
    </w:p>
    <w:p w14:paraId="5C9F3256">
      <w:pPr>
        <w:pStyle w:val="6"/>
        <w:ind w:left="0" w:leftChars="0" w:firstLine="0" w:firstLineChars="0"/>
        <w:rPr>
          <w:rFonts w:hint="eastAsia" w:ascii="宋体" w:hAnsi="宋体" w:cs="宋体"/>
          <w:b w:val="0"/>
          <w:bCs w:val="0"/>
          <w:sz w:val="24"/>
        </w:rPr>
      </w:pPr>
      <w:r>
        <w:rPr>
          <w:rFonts w:hint="eastAsia" w:ascii="宋体" w:hAnsi="宋体" w:cs="宋体"/>
          <w:b w:val="0"/>
          <w:bCs w:val="0"/>
          <w:sz w:val="24"/>
        </w:rPr>
        <w:t>三、服务方案：</w:t>
      </w:r>
    </w:p>
    <w:p w14:paraId="39F178B1">
      <w:pPr>
        <w:pStyle w:val="6"/>
        <w:spacing w:line="360" w:lineRule="auto"/>
        <w:ind w:left="0" w:leftChars="0" w:firstLine="0" w:firstLineChars="0"/>
        <w:rPr>
          <w:rFonts w:hint="eastAsia" w:ascii="宋体" w:hAnsi="宋体" w:cs="宋体"/>
          <w:b w:val="0"/>
          <w:bCs w:val="0"/>
          <w:sz w:val="24"/>
        </w:rPr>
      </w:pPr>
      <w:r>
        <w:rPr>
          <w:rFonts w:hint="eastAsia" w:ascii="宋体" w:hAnsi="宋体" w:cs="宋体"/>
          <w:b w:val="0"/>
          <w:bCs w:val="0"/>
          <w:sz w:val="24"/>
        </w:rPr>
        <w:t>供应商维修服务方案（包含并不限于附件一中的内容）</w:t>
      </w:r>
    </w:p>
    <w:p w14:paraId="56CD7B5B">
      <w:pPr>
        <w:rPr>
          <w:rFonts w:hint="eastAsia" w:ascii="宋体" w:hAnsi="宋体"/>
          <w:b w:val="0"/>
          <w:bCs w:val="0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70"/>
    <w:rsid w:val="00014D5C"/>
    <w:rsid w:val="00050DB4"/>
    <w:rsid w:val="000A5685"/>
    <w:rsid w:val="000C3EDA"/>
    <w:rsid w:val="000F098F"/>
    <w:rsid w:val="00147B0A"/>
    <w:rsid w:val="001564FE"/>
    <w:rsid w:val="001B6D8D"/>
    <w:rsid w:val="001F61F5"/>
    <w:rsid w:val="00206B8E"/>
    <w:rsid w:val="00244096"/>
    <w:rsid w:val="002538CB"/>
    <w:rsid w:val="00271B56"/>
    <w:rsid w:val="00290A2E"/>
    <w:rsid w:val="002A6379"/>
    <w:rsid w:val="002C597B"/>
    <w:rsid w:val="00326323"/>
    <w:rsid w:val="00336851"/>
    <w:rsid w:val="0038239C"/>
    <w:rsid w:val="003939DA"/>
    <w:rsid w:val="0039742A"/>
    <w:rsid w:val="003A2DB6"/>
    <w:rsid w:val="003B1FE8"/>
    <w:rsid w:val="003C73B3"/>
    <w:rsid w:val="0041143E"/>
    <w:rsid w:val="00425D57"/>
    <w:rsid w:val="00435EC1"/>
    <w:rsid w:val="00441E49"/>
    <w:rsid w:val="00445471"/>
    <w:rsid w:val="0047135C"/>
    <w:rsid w:val="005B01EB"/>
    <w:rsid w:val="005E72CD"/>
    <w:rsid w:val="006761F4"/>
    <w:rsid w:val="006A32D4"/>
    <w:rsid w:val="006E7B29"/>
    <w:rsid w:val="006F3329"/>
    <w:rsid w:val="00723110"/>
    <w:rsid w:val="00746C72"/>
    <w:rsid w:val="00790DD6"/>
    <w:rsid w:val="007B2369"/>
    <w:rsid w:val="007E27F2"/>
    <w:rsid w:val="007F1A5A"/>
    <w:rsid w:val="008044AE"/>
    <w:rsid w:val="0085351D"/>
    <w:rsid w:val="00872C84"/>
    <w:rsid w:val="008847FB"/>
    <w:rsid w:val="008964FA"/>
    <w:rsid w:val="008B0A99"/>
    <w:rsid w:val="008C09A3"/>
    <w:rsid w:val="008D4F70"/>
    <w:rsid w:val="008E0957"/>
    <w:rsid w:val="00902371"/>
    <w:rsid w:val="009258A4"/>
    <w:rsid w:val="00962637"/>
    <w:rsid w:val="009A3EB8"/>
    <w:rsid w:val="009C42F9"/>
    <w:rsid w:val="009D5B53"/>
    <w:rsid w:val="009E744A"/>
    <w:rsid w:val="009F5716"/>
    <w:rsid w:val="00A22B05"/>
    <w:rsid w:val="00A26DA8"/>
    <w:rsid w:val="00A27C5B"/>
    <w:rsid w:val="00A54EF2"/>
    <w:rsid w:val="00A63857"/>
    <w:rsid w:val="00A6496B"/>
    <w:rsid w:val="00AA601A"/>
    <w:rsid w:val="00AD2E34"/>
    <w:rsid w:val="00AD6887"/>
    <w:rsid w:val="00B041AA"/>
    <w:rsid w:val="00B36005"/>
    <w:rsid w:val="00B45E69"/>
    <w:rsid w:val="00B67F09"/>
    <w:rsid w:val="00C65BD8"/>
    <w:rsid w:val="00C67828"/>
    <w:rsid w:val="00C75D56"/>
    <w:rsid w:val="00D02D85"/>
    <w:rsid w:val="00D10B87"/>
    <w:rsid w:val="00D1189E"/>
    <w:rsid w:val="00D12E70"/>
    <w:rsid w:val="00D77A4C"/>
    <w:rsid w:val="00DC1A6A"/>
    <w:rsid w:val="00DC6EDD"/>
    <w:rsid w:val="00DF1BBC"/>
    <w:rsid w:val="00E02A05"/>
    <w:rsid w:val="00E03C3C"/>
    <w:rsid w:val="00E402BD"/>
    <w:rsid w:val="00E41677"/>
    <w:rsid w:val="00E6778D"/>
    <w:rsid w:val="00EA72E6"/>
    <w:rsid w:val="00ED7F22"/>
    <w:rsid w:val="00F25D01"/>
    <w:rsid w:val="00F40121"/>
    <w:rsid w:val="00F42E23"/>
    <w:rsid w:val="00F46CB3"/>
    <w:rsid w:val="00F638A0"/>
    <w:rsid w:val="00F77FC1"/>
    <w:rsid w:val="00F830F2"/>
    <w:rsid w:val="04370E8E"/>
    <w:rsid w:val="23BD37BD"/>
    <w:rsid w:val="28516620"/>
    <w:rsid w:val="3D767B0F"/>
    <w:rsid w:val="53C52D94"/>
    <w:rsid w:val="5EF2323F"/>
    <w:rsid w:val="651A032B"/>
    <w:rsid w:val="7B206EBC"/>
    <w:rsid w:val="7CED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b/>
      <w:bCs/>
      <w:color w:val="000000"/>
      <w:kern w:val="28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6">
    <w:name w:val="Body Text First Indent 2"/>
    <w:basedOn w:val="2"/>
    <w:qFormat/>
    <w:uiPriority w:val="99"/>
    <w:pPr>
      <w:ind w:firstLine="420" w:firstLineChars="200"/>
    </w:pPr>
    <w:rPr>
      <w:rFonts w:ascii="Times New Roman" w:hAnsi="Times New Roman" w:cs="Times New Roman"/>
      <w:szCs w:val="24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12">
    <w:name w:val="font51"/>
    <w:basedOn w:val="9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3">
    <w:name w:val="font31"/>
    <w:basedOn w:val="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页眉 字符"/>
    <w:basedOn w:val="9"/>
    <w:link w:val="4"/>
    <w:qFormat/>
    <w:uiPriority w:val="0"/>
    <w:rPr>
      <w:rFonts w:ascii="Calibri" w:hAnsi="Calibri" w:eastAsia="宋体" w:cs="宋体"/>
      <w:b/>
      <w:bCs/>
      <w:color w:val="000000"/>
      <w:kern w:val="28"/>
      <w:sz w:val="18"/>
      <w:szCs w:val="18"/>
    </w:rPr>
  </w:style>
  <w:style w:type="character" w:customStyle="1" w:styleId="15">
    <w:name w:val="页脚 字符"/>
    <w:basedOn w:val="9"/>
    <w:link w:val="3"/>
    <w:qFormat/>
    <w:uiPriority w:val="0"/>
    <w:rPr>
      <w:rFonts w:ascii="Calibri" w:hAnsi="Calibri" w:eastAsia="宋体" w:cs="宋体"/>
      <w:b/>
      <w:bCs/>
      <w:color w:val="000000"/>
      <w:kern w:val="28"/>
      <w:sz w:val="18"/>
      <w:szCs w:val="18"/>
    </w:rPr>
  </w:style>
  <w:style w:type="paragraph" w:customStyle="1" w:styleId="16">
    <w:name w:val="null3"/>
    <w:qFormat/>
    <w:uiPriority w:val="0"/>
    <w:rPr>
      <w:rFonts w:hint="eastAsia" w:ascii="Calibri" w:hAnsi="Calibri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5FECF-336E-4A56-94E2-1DBB198C6A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1598</Words>
  <Characters>1871</Characters>
  <Lines>14</Lines>
  <Paragraphs>4</Paragraphs>
  <TotalTime>3</TotalTime>
  <ScaleCrop>false</ScaleCrop>
  <LinksUpToDate>false</LinksUpToDate>
  <CharactersWithSpaces>1911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2025-11-19T08:56:00Z</dcterms:created>
  <dc:creator>开心开心</dc:creator>
  <cp:lastModifiedBy>开心开心</cp:lastModifiedBy>
  <cp:lastPrinted>2026-06-05T09:28:00Z</cp:lastPrinted>
  <dcterms:modified xsi:type="dcterms:W3CDTF">2026-08-04T13:23:32Z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CEF6F71BF4054FA3BB8013649640E4EF_13</vt:lpwstr>
  </property>
  <property fmtid="{D5CDD505-2E9C-101B-9397-08002B2CF9AE}" pid="4" name="KSOTemplateDocerSaveRecord">
    <vt:lpwstr>eyJoZGlkIjoiMDdhZWRkMjNjYzkwZGRlMTM4YTFhZWUyMzczNzExMTQiLCJ1c2VySWQiOiIzOTk0ODA1MTkifQ==</vt:lpwstr>
  </property>
</Properties>
</file>