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A6EA1">
      <w:pPr>
        <w:spacing w:line="480" w:lineRule="exact"/>
        <w:ind w:firstLine="643" w:firstLineChars="200"/>
        <w:jc w:val="center"/>
        <w:rPr>
          <w:rFonts w:hint="eastAsia" w:ascii="黑体" w:hAnsi="黑体" w:eastAsia="黑体" w:cs="黑体"/>
          <w:b/>
          <w:sz w:val="32"/>
          <w:szCs w:val="32"/>
        </w:rPr>
      </w:pPr>
      <w:bookmarkStart w:id="0" w:name="_Hlk95726853"/>
      <w:r>
        <w:rPr>
          <w:rFonts w:hint="eastAsia" w:ascii="黑体" w:hAnsi="黑体" w:eastAsia="黑体" w:cs="黑体"/>
          <w:b/>
          <w:sz w:val="32"/>
          <w:szCs w:val="32"/>
        </w:rPr>
        <w:t>福建医科大学附属第一医院</w:t>
      </w:r>
    </w:p>
    <w:p w14:paraId="7BC34964">
      <w:pPr>
        <w:spacing w:line="480" w:lineRule="exact"/>
        <w:ind w:firstLine="643" w:firstLineChars="200"/>
        <w:jc w:val="center"/>
        <w:rPr>
          <w:rFonts w:hint="eastAsia" w:ascii="黑体" w:hAnsi="黑体" w:eastAsia="黑体" w:cs="黑体"/>
          <w:b/>
          <w:sz w:val="32"/>
          <w:szCs w:val="32"/>
          <w:lang w:eastAsia="zh-CN"/>
        </w:rPr>
      </w:pPr>
      <w:r>
        <w:rPr>
          <w:rFonts w:hint="eastAsia" w:ascii="黑体" w:hAnsi="黑体" w:eastAsia="黑体" w:cs="黑体"/>
          <w:b/>
          <w:sz w:val="32"/>
          <w:szCs w:val="32"/>
          <w:lang w:eastAsia="zh-CN"/>
        </w:rPr>
        <w:t>实验猪供应服务</w:t>
      </w:r>
      <w:r>
        <w:rPr>
          <w:rFonts w:hint="eastAsia" w:ascii="黑体" w:hAnsi="黑体" w:eastAsia="黑体" w:cs="黑体"/>
          <w:b/>
          <w:sz w:val="32"/>
          <w:szCs w:val="32"/>
        </w:rPr>
        <w:t>院内竞争性谈判要求</w:t>
      </w:r>
      <w:r>
        <w:rPr>
          <w:rFonts w:hint="eastAsia" w:ascii="黑体" w:hAnsi="黑体" w:eastAsia="黑体" w:cs="黑体"/>
          <w:b/>
          <w:sz w:val="32"/>
          <w:szCs w:val="32"/>
          <w:lang w:eastAsia="zh-CN"/>
        </w:rPr>
        <w:t>（</w:t>
      </w:r>
      <w:r>
        <w:rPr>
          <w:rFonts w:hint="eastAsia" w:ascii="黑体" w:hAnsi="黑体" w:eastAsia="黑体" w:cs="黑体"/>
          <w:b/>
          <w:sz w:val="32"/>
          <w:szCs w:val="32"/>
          <w:lang w:val="en-US" w:eastAsia="zh-CN"/>
        </w:rPr>
        <w:t>二次</w:t>
      </w:r>
      <w:r>
        <w:rPr>
          <w:rFonts w:hint="eastAsia" w:ascii="黑体" w:hAnsi="黑体" w:eastAsia="黑体" w:cs="黑体"/>
          <w:b/>
          <w:sz w:val="32"/>
          <w:szCs w:val="32"/>
          <w:lang w:eastAsia="zh-CN"/>
        </w:rPr>
        <w:t>）</w:t>
      </w:r>
    </w:p>
    <w:p w14:paraId="45FDC37B">
      <w:pPr>
        <w:pStyle w:val="15"/>
        <w:widowControl/>
        <w:shd w:val="clear" w:color="auto" w:fill="FFFFFF"/>
        <w:spacing w:line="460" w:lineRule="exact"/>
        <w:ind w:firstLine="480"/>
        <w:jc w:val="left"/>
        <w:rPr>
          <w:rFonts w:hint="eastAsia" w:ascii="宋体" w:hAnsi="宋体" w:cs="宋体"/>
          <w:kern w:val="0"/>
          <w:sz w:val="24"/>
          <w:szCs w:val="24"/>
          <w:lang w:val="en-US" w:eastAsia="zh-CN"/>
        </w:rPr>
      </w:pPr>
    </w:p>
    <w:p w14:paraId="1D9D3609">
      <w:pPr>
        <w:pStyle w:val="15"/>
        <w:widowControl/>
        <w:shd w:val="clear" w:color="auto" w:fill="FFFFFF"/>
        <w:spacing w:line="460" w:lineRule="exact"/>
        <w:ind w:firstLine="480"/>
        <w:jc w:val="left"/>
        <w:rPr>
          <w:rFonts w:hint="eastAsia" w:ascii="宋体" w:hAnsi="宋体" w:cs="宋体"/>
          <w:kern w:val="0"/>
          <w:sz w:val="24"/>
          <w:szCs w:val="24"/>
        </w:rPr>
      </w:pPr>
      <w:r>
        <w:rPr>
          <w:rFonts w:hint="eastAsia" w:ascii="宋体" w:hAnsi="宋体" w:cs="宋体"/>
          <w:kern w:val="0"/>
          <w:sz w:val="24"/>
          <w:szCs w:val="24"/>
          <w:lang w:val="en-US" w:eastAsia="zh-CN"/>
        </w:rPr>
        <w:t>福建医科大学附属第一医院微创外科培训中心是拥有大动物使用资质的中心，常规开展动物实验，需采购</w:t>
      </w:r>
      <w:r>
        <w:rPr>
          <w:rFonts w:hint="eastAsia" w:ascii="宋体" w:hAnsi="宋体" w:cs="宋体"/>
          <w:kern w:val="0"/>
          <w:sz w:val="24"/>
          <w:szCs w:val="24"/>
          <w:lang w:eastAsia="zh-CN"/>
        </w:rPr>
        <w:t>实验猪供应服务</w:t>
      </w:r>
      <w:r>
        <w:rPr>
          <w:rFonts w:hint="eastAsia" w:ascii="宋体" w:hAnsi="宋体" w:cs="宋体"/>
          <w:kern w:val="0"/>
          <w:sz w:val="24"/>
          <w:szCs w:val="24"/>
        </w:rPr>
        <w:t>，服务期合同期限届满1年或合同金额累计达到中标金额，该项目合同终止。</w:t>
      </w:r>
    </w:p>
    <w:p w14:paraId="448F62FB">
      <w:pPr>
        <w:pStyle w:val="15"/>
        <w:widowControl/>
        <w:shd w:val="clear" w:color="auto" w:fill="FFFFFF"/>
        <w:spacing w:line="460" w:lineRule="exact"/>
        <w:ind w:firstLine="480"/>
        <w:jc w:val="left"/>
        <w:rPr>
          <w:rFonts w:hint="default" w:ascii="宋体" w:hAnsi="宋体" w:cs="宋体"/>
          <w:kern w:val="0"/>
          <w:sz w:val="24"/>
          <w:szCs w:val="24"/>
          <w:lang w:val="en-US" w:eastAsia="zh-CN"/>
        </w:rPr>
      </w:pPr>
      <w:r>
        <w:rPr>
          <w:rFonts w:hint="eastAsia" w:ascii="宋体" w:hAnsi="宋体" w:cs="宋体"/>
          <w:kern w:val="0"/>
          <w:sz w:val="24"/>
          <w:szCs w:val="24"/>
        </w:rPr>
        <w:t>招标编号：</w:t>
      </w:r>
      <w:r>
        <w:rPr>
          <w:rFonts w:hint="eastAsia" w:ascii="宋体" w:hAnsi="宋体" w:cs="宋体"/>
          <w:kern w:val="0"/>
          <w:sz w:val="24"/>
          <w:szCs w:val="24"/>
          <w:lang w:val="en-US" w:eastAsia="zh-CN"/>
        </w:rPr>
        <w:t>FYFYJYCZC202601-2</w:t>
      </w:r>
      <w:r>
        <w:rPr>
          <w:rFonts w:hint="eastAsia" w:ascii="宋体" w:hAnsi="宋体" w:cs="宋体"/>
          <w:kern w:val="0"/>
          <w:sz w:val="24"/>
          <w:szCs w:val="24"/>
        </w:rPr>
        <w:t xml:space="preserve">                            最高限价 ：</w:t>
      </w:r>
      <w:r>
        <w:rPr>
          <w:rFonts w:hint="eastAsia" w:ascii="宋体" w:hAnsi="宋体" w:cs="宋体"/>
          <w:kern w:val="0"/>
          <w:sz w:val="24"/>
          <w:szCs w:val="24"/>
          <w:lang w:val="en-US" w:eastAsia="zh-CN"/>
        </w:rPr>
        <w:t>52000元</w:t>
      </w:r>
    </w:p>
    <w:p w14:paraId="05CE6A1C">
      <w:pPr>
        <w:spacing w:line="460" w:lineRule="exact"/>
        <w:ind w:firstLine="562" w:firstLineChars="200"/>
        <w:rPr>
          <w:rFonts w:hint="eastAsia" w:ascii="黑体" w:hAnsi="黑体" w:eastAsia="黑体" w:cs="黑体"/>
          <w:b/>
          <w:sz w:val="28"/>
          <w:szCs w:val="28"/>
        </w:rPr>
      </w:pPr>
      <w:r>
        <w:rPr>
          <w:rFonts w:hint="eastAsia" w:ascii="黑体" w:hAnsi="黑体" w:eastAsia="黑体" w:cs="黑体"/>
          <w:b/>
          <w:sz w:val="28"/>
          <w:szCs w:val="28"/>
        </w:rPr>
        <w:t>一、资格标准</w:t>
      </w:r>
    </w:p>
    <w:p w14:paraId="3BF84FF9">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Hans"/>
        </w:rPr>
        <w:t>1、具有独立法人资格，具有独立承担民事责任和履行合同能力，提供营业执照复</w:t>
      </w:r>
      <w:r>
        <w:rPr>
          <w:rFonts w:hint="eastAsia" w:ascii="宋体" w:hAnsi="宋体" w:cs="宋体"/>
          <w:kern w:val="0"/>
          <w:sz w:val="24"/>
          <w:szCs w:val="24"/>
          <w:lang w:val="en-US" w:eastAsia="zh-CN"/>
        </w:rPr>
        <w:t>印</w:t>
      </w:r>
      <w:r>
        <w:rPr>
          <w:rFonts w:hint="eastAsia" w:ascii="宋体" w:hAnsi="宋体" w:cs="宋体"/>
          <w:kern w:val="0"/>
          <w:sz w:val="24"/>
          <w:szCs w:val="24"/>
          <w:lang w:val="en-US" w:eastAsia="zh-Hans"/>
        </w:rPr>
        <w:t>件并加盖公章</w:t>
      </w:r>
      <w:r>
        <w:rPr>
          <w:rFonts w:hint="eastAsia" w:ascii="宋体" w:hAnsi="宋体" w:cs="宋体"/>
          <w:kern w:val="0"/>
          <w:sz w:val="24"/>
          <w:szCs w:val="24"/>
          <w:lang w:val="en-US" w:eastAsia="zh-CN"/>
        </w:rPr>
        <w:t>。</w:t>
      </w:r>
    </w:p>
    <w:p w14:paraId="69006468">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2、响应人参加采购活动前3年内在经营活动中没有重大违法记录和无行贿犯罪记录的书面声明原件。</w:t>
      </w:r>
    </w:p>
    <w:p w14:paraId="346450EB">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3、提供投标人法定代表人身份证复印件、授权委托书原件及被委托人身份证复印件（授权书必须法人代表签字并加盖公章）。</w:t>
      </w:r>
    </w:p>
    <w:p w14:paraId="5F659FC5">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4、提供实验动物生产许可证并加盖公章，未提供的视为报价无效。</w:t>
      </w:r>
    </w:p>
    <w:p w14:paraId="15CCEBE7">
      <w:pPr>
        <w:pStyle w:val="15"/>
        <w:widowControl/>
        <w:shd w:val="clear" w:color="auto" w:fill="FFFFFF"/>
        <w:spacing w:line="460" w:lineRule="exact"/>
        <w:ind w:left="0" w:leftChars="0"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5、提供近6个月内由国家认可的相应资质检测机构出具的合格实验动物质量检测报告（猪瘟病毒、猪繁殖与呼吸综合征病毒、体外寄生虫、沙门菌、布鲁氏菌抗体、弓形虫抗体等），实验动物质量合格证和实验动物检疫合格证明并加盖公章。</w:t>
      </w:r>
    </w:p>
    <w:p w14:paraId="2F25E3B4">
      <w:pPr>
        <w:pStyle w:val="15"/>
        <w:widowControl/>
        <w:numPr>
          <w:ilvl w:val="0"/>
          <w:numId w:val="0"/>
        </w:numPr>
        <w:shd w:val="clear" w:color="auto" w:fill="FFFFFF"/>
        <w:spacing w:line="460" w:lineRule="exact"/>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6、提供实验动物档案、疫苗接种记录和可溯源遗传背景来源（以引种来源单位出具的证明为准）。</w:t>
      </w:r>
    </w:p>
    <w:p w14:paraId="50BF85F8">
      <w:pPr>
        <w:pStyle w:val="15"/>
        <w:widowControl/>
        <w:shd w:val="clear" w:color="auto" w:fill="FFFFFF"/>
        <w:spacing w:line="460" w:lineRule="exac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7、提供执业兽医师</w:t>
      </w:r>
      <w:r>
        <w:rPr>
          <w:rFonts w:hint="eastAsia" w:ascii="宋体" w:hAnsi="宋体" w:cs="宋体"/>
          <w:color w:val="000000" w:themeColor="text1"/>
          <w:kern w:val="0"/>
          <w:sz w:val="24"/>
          <w:szCs w:val="24"/>
          <w:lang w:val="en-US" w:eastAsia="zh-CN"/>
          <w14:textFill>
            <w14:solidFill>
              <w14:schemeClr w14:val="tx1"/>
            </w14:solidFill>
          </w14:textFill>
        </w:rPr>
        <w:t>资格证书</w:t>
      </w:r>
      <w:r>
        <w:rPr>
          <w:rFonts w:hint="eastAsia" w:ascii="宋体" w:hAnsi="宋体" w:cs="宋体"/>
          <w:kern w:val="0"/>
          <w:sz w:val="24"/>
          <w:szCs w:val="24"/>
          <w:lang w:val="en-US" w:eastAsia="zh-CN"/>
        </w:rPr>
        <w:t>，承诺实验动物送达7天内出现问题，兽医必须提供技术支持，附承诺函（格式自拟）。</w:t>
      </w:r>
    </w:p>
    <w:p w14:paraId="657CBDA9">
      <w:pPr>
        <w:spacing w:line="460" w:lineRule="exact"/>
        <w:ind w:firstLine="562" w:firstLineChars="200"/>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二、报价要求</w:t>
      </w:r>
    </w:p>
    <w:tbl>
      <w:tblPr>
        <w:tblStyle w:val="10"/>
        <w:tblpPr w:leftFromText="180" w:rightFromText="180" w:vertAnchor="text" w:horzAnchor="page" w:tblpX="1384" w:tblpY="564"/>
        <w:tblOverlap w:val="never"/>
        <w:tblW w:w="929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3"/>
        <w:gridCol w:w="1197"/>
        <w:gridCol w:w="1353"/>
        <w:gridCol w:w="1110"/>
        <w:gridCol w:w="1020"/>
        <w:gridCol w:w="945"/>
        <w:gridCol w:w="945"/>
        <w:gridCol w:w="840"/>
        <w:gridCol w:w="1155"/>
      </w:tblGrid>
      <w:tr w14:paraId="3C6AA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07" w:hRule="atLeast"/>
        </w:trPr>
        <w:tc>
          <w:tcPr>
            <w:tcW w:w="733" w:type="dxa"/>
            <w:vAlign w:val="center"/>
          </w:tcPr>
          <w:p w14:paraId="71F4D5DD">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序号</w:t>
            </w:r>
          </w:p>
        </w:tc>
        <w:tc>
          <w:tcPr>
            <w:tcW w:w="1197" w:type="dxa"/>
            <w:vAlign w:val="center"/>
          </w:tcPr>
          <w:p w14:paraId="26BF72D7">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货物名称</w:t>
            </w:r>
          </w:p>
        </w:tc>
        <w:tc>
          <w:tcPr>
            <w:tcW w:w="1353" w:type="dxa"/>
            <w:vAlign w:val="center"/>
          </w:tcPr>
          <w:p w14:paraId="2E733A73">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规格型号</w:t>
            </w:r>
          </w:p>
        </w:tc>
        <w:tc>
          <w:tcPr>
            <w:tcW w:w="1110" w:type="dxa"/>
            <w:vAlign w:val="center"/>
          </w:tcPr>
          <w:p w14:paraId="273E948C">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Hans"/>
              </w:rPr>
            </w:pPr>
            <w:r>
              <w:rPr>
                <w:rFonts w:hint="eastAsia" w:ascii="宋体" w:hAnsi="宋体" w:cs="宋体"/>
                <w:kern w:val="0"/>
                <w:sz w:val="24"/>
                <w:szCs w:val="24"/>
                <w:lang w:val="en-US" w:eastAsia="zh-CN"/>
              </w:rPr>
              <w:t>供应商</w:t>
            </w:r>
            <w:r>
              <w:rPr>
                <w:rFonts w:hint="eastAsia" w:ascii="宋体" w:hAnsi="宋体" w:cs="宋体"/>
                <w:kern w:val="0"/>
                <w:sz w:val="24"/>
                <w:szCs w:val="24"/>
                <w:lang w:val="en-US" w:eastAsia="zh-Hans"/>
              </w:rPr>
              <w:t>名称</w:t>
            </w:r>
          </w:p>
        </w:tc>
        <w:tc>
          <w:tcPr>
            <w:tcW w:w="1020" w:type="dxa"/>
            <w:vAlign w:val="center"/>
          </w:tcPr>
          <w:p w14:paraId="04635577">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Hans"/>
              </w:rPr>
              <w:t>最高限</w:t>
            </w:r>
            <w:r>
              <w:rPr>
                <w:rFonts w:hint="eastAsia" w:ascii="宋体" w:hAnsi="宋体" w:cs="宋体"/>
                <w:kern w:val="0"/>
                <w:sz w:val="24"/>
                <w:szCs w:val="24"/>
                <w:lang w:val="en-US" w:eastAsia="zh-CN"/>
              </w:rPr>
              <w:t>价（元）</w:t>
            </w:r>
          </w:p>
        </w:tc>
        <w:tc>
          <w:tcPr>
            <w:tcW w:w="945" w:type="dxa"/>
            <w:vAlign w:val="center"/>
          </w:tcPr>
          <w:p w14:paraId="287C6EAD">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单价</w:t>
            </w:r>
            <w:r>
              <w:rPr>
                <w:rFonts w:hint="eastAsia" w:ascii="宋体" w:hAnsi="宋体" w:cs="宋体"/>
                <w:kern w:val="0"/>
                <w:sz w:val="24"/>
                <w:szCs w:val="24"/>
                <w:lang w:val="en-US" w:eastAsia="zh-CN"/>
              </w:rPr>
              <w:t>（元）</w:t>
            </w:r>
          </w:p>
        </w:tc>
        <w:tc>
          <w:tcPr>
            <w:tcW w:w="945" w:type="dxa"/>
            <w:vAlign w:val="center"/>
          </w:tcPr>
          <w:p w14:paraId="400E67D7">
            <w:pPr>
              <w:pStyle w:val="15"/>
              <w:widowControl/>
              <w:shd w:val="clear" w:color="auto" w:fill="FFFFFF"/>
              <w:spacing w:line="460" w:lineRule="exact"/>
              <w:ind w:left="0" w:leftChars="0"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预估采购数量</w:t>
            </w:r>
          </w:p>
        </w:tc>
        <w:tc>
          <w:tcPr>
            <w:tcW w:w="840" w:type="dxa"/>
            <w:vAlign w:val="center"/>
          </w:tcPr>
          <w:p w14:paraId="3BA3C1DB">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计量</w:t>
            </w:r>
          </w:p>
          <w:p w14:paraId="5E93672C">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单位</w:t>
            </w:r>
          </w:p>
        </w:tc>
        <w:tc>
          <w:tcPr>
            <w:tcW w:w="1155" w:type="dxa"/>
            <w:vAlign w:val="center"/>
          </w:tcPr>
          <w:p w14:paraId="51F00E42">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Hans"/>
              </w:rPr>
              <w:t>总价</w:t>
            </w:r>
            <w:r>
              <w:rPr>
                <w:rFonts w:hint="eastAsia" w:ascii="宋体" w:hAnsi="宋体" w:cs="宋体"/>
                <w:kern w:val="0"/>
                <w:sz w:val="24"/>
                <w:szCs w:val="24"/>
                <w:lang w:val="en-US" w:eastAsia="zh-CN"/>
              </w:rPr>
              <w:t>（元）</w:t>
            </w:r>
          </w:p>
        </w:tc>
      </w:tr>
      <w:tr w14:paraId="3B86F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6" w:hRule="atLeast"/>
        </w:trPr>
        <w:tc>
          <w:tcPr>
            <w:tcW w:w="733" w:type="dxa"/>
            <w:shd w:val="clear" w:color="auto" w:fill="auto"/>
            <w:vAlign w:val="center"/>
          </w:tcPr>
          <w:p w14:paraId="7A39A0B5">
            <w:pPr>
              <w:pStyle w:val="15"/>
              <w:widowControl/>
              <w:shd w:val="clear" w:color="auto" w:fill="FFFFFF"/>
              <w:spacing w:line="460" w:lineRule="exact"/>
              <w:ind w:left="0" w:leftChars="0" w:firstLine="240" w:firstLineChars="100"/>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1197" w:type="dxa"/>
            <w:shd w:val="clear" w:color="auto" w:fill="auto"/>
            <w:vAlign w:val="center"/>
          </w:tcPr>
          <w:p w14:paraId="40441F89">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实验猪</w:t>
            </w:r>
          </w:p>
        </w:tc>
        <w:tc>
          <w:tcPr>
            <w:tcW w:w="1353" w:type="dxa"/>
            <w:vAlign w:val="center"/>
          </w:tcPr>
          <w:p w14:paraId="229A7C2E">
            <w:pPr>
              <w:pStyle w:val="15"/>
              <w:widowControl/>
              <w:shd w:val="clear" w:color="auto" w:fill="FFFFFF"/>
              <w:spacing w:line="460" w:lineRule="exact"/>
              <w:ind w:left="0" w:leftChars="0" w:firstLine="0" w:firstLineChars="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35kg-40kg</w:t>
            </w:r>
          </w:p>
        </w:tc>
        <w:tc>
          <w:tcPr>
            <w:tcW w:w="1110" w:type="dxa"/>
            <w:vAlign w:val="center"/>
          </w:tcPr>
          <w:p w14:paraId="780766A3">
            <w:pPr>
              <w:pStyle w:val="15"/>
              <w:widowControl/>
              <w:shd w:val="clear" w:color="auto" w:fill="FFFFFF"/>
              <w:spacing w:line="460" w:lineRule="exact"/>
              <w:ind w:firstLine="480"/>
              <w:jc w:val="left"/>
              <w:rPr>
                <w:rFonts w:hint="eastAsia" w:ascii="宋体" w:hAnsi="宋体" w:cs="宋体"/>
                <w:kern w:val="0"/>
                <w:sz w:val="24"/>
                <w:szCs w:val="24"/>
                <w:lang w:val="en-US" w:eastAsia="zh-Hans"/>
              </w:rPr>
            </w:pPr>
          </w:p>
        </w:tc>
        <w:tc>
          <w:tcPr>
            <w:tcW w:w="1020" w:type="dxa"/>
            <w:shd w:val="clear" w:color="auto" w:fill="auto"/>
            <w:vAlign w:val="center"/>
          </w:tcPr>
          <w:p w14:paraId="7F1BFBFA">
            <w:pPr>
              <w:pStyle w:val="15"/>
              <w:widowControl/>
              <w:shd w:val="clear" w:color="auto" w:fill="FFFFFF"/>
              <w:spacing w:line="460" w:lineRule="exact"/>
              <w:ind w:left="0" w:leftChars="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52000</w:t>
            </w:r>
          </w:p>
        </w:tc>
        <w:tc>
          <w:tcPr>
            <w:tcW w:w="945" w:type="dxa"/>
            <w:vAlign w:val="center"/>
          </w:tcPr>
          <w:p w14:paraId="79F24F15">
            <w:pPr>
              <w:pStyle w:val="15"/>
              <w:widowControl/>
              <w:shd w:val="clear" w:color="auto" w:fill="FFFFFF"/>
              <w:spacing w:line="460" w:lineRule="exact"/>
              <w:ind w:left="0" w:leftChars="0" w:firstLine="0" w:firstLineChars="0"/>
              <w:jc w:val="left"/>
              <w:rPr>
                <w:rFonts w:hint="eastAsia" w:ascii="宋体" w:hAnsi="宋体" w:cs="宋体"/>
                <w:kern w:val="0"/>
                <w:sz w:val="24"/>
                <w:szCs w:val="24"/>
                <w:lang w:val="en-US" w:eastAsia="zh-Hans"/>
              </w:rPr>
            </w:pPr>
          </w:p>
        </w:tc>
        <w:tc>
          <w:tcPr>
            <w:tcW w:w="945" w:type="dxa"/>
            <w:shd w:val="clear" w:color="auto" w:fill="auto"/>
            <w:vAlign w:val="center"/>
          </w:tcPr>
          <w:p w14:paraId="225234D4">
            <w:pPr>
              <w:pStyle w:val="15"/>
              <w:widowControl/>
              <w:shd w:val="clear" w:color="auto" w:fill="FFFFFF"/>
              <w:spacing w:line="460" w:lineRule="exact"/>
              <w:ind w:left="0" w:leftChars="0" w:firstLine="240" w:firstLineChars="1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20</w:t>
            </w:r>
          </w:p>
        </w:tc>
        <w:tc>
          <w:tcPr>
            <w:tcW w:w="840" w:type="dxa"/>
            <w:shd w:val="clear" w:color="auto" w:fill="auto"/>
            <w:vAlign w:val="center"/>
          </w:tcPr>
          <w:p w14:paraId="316DC42B">
            <w:pPr>
              <w:pStyle w:val="15"/>
              <w:widowControl/>
              <w:shd w:val="clear" w:color="auto" w:fill="FFFFFF"/>
              <w:spacing w:line="460" w:lineRule="exact"/>
              <w:ind w:left="0" w:leftChars="0" w:firstLine="240" w:firstLineChars="1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头</w:t>
            </w:r>
          </w:p>
        </w:tc>
        <w:tc>
          <w:tcPr>
            <w:tcW w:w="1155" w:type="dxa"/>
            <w:vAlign w:val="center"/>
          </w:tcPr>
          <w:p w14:paraId="0A46E0B6">
            <w:pPr>
              <w:pStyle w:val="15"/>
              <w:widowControl/>
              <w:shd w:val="clear" w:color="auto" w:fill="FFFFFF"/>
              <w:spacing w:line="460" w:lineRule="exact"/>
              <w:ind w:left="0" w:leftChars="0" w:firstLine="0" w:firstLineChars="0"/>
              <w:jc w:val="left"/>
              <w:rPr>
                <w:rFonts w:hint="eastAsia" w:ascii="宋体" w:hAnsi="宋体" w:cs="宋体"/>
                <w:kern w:val="0"/>
                <w:sz w:val="24"/>
                <w:szCs w:val="24"/>
                <w:lang w:val="en-US" w:eastAsia="zh-Hans"/>
              </w:rPr>
            </w:pPr>
          </w:p>
        </w:tc>
      </w:tr>
    </w:tbl>
    <w:p w14:paraId="03CB9194">
      <w:pPr>
        <w:pStyle w:val="15"/>
        <w:widowControl/>
        <w:shd w:val="clear" w:color="auto" w:fill="FFFFFF"/>
        <w:spacing w:line="460" w:lineRule="exact"/>
        <w:ind w:firstLine="480"/>
        <w:jc w:val="left"/>
        <w:rPr>
          <w:rFonts w:hint="eastAsia" w:ascii="宋体" w:hAnsi="宋体" w:cs="宋体"/>
          <w:kern w:val="0"/>
          <w:sz w:val="24"/>
          <w:szCs w:val="24"/>
          <w:lang w:val="en-US" w:eastAsia="zh-CN"/>
        </w:rPr>
      </w:pPr>
    </w:p>
    <w:p w14:paraId="413FE079">
      <w:pPr>
        <w:pStyle w:val="15"/>
        <w:widowControl/>
        <w:shd w:val="clear" w:color="auto" w:fill="FFFFFF"/>
        <w:spacing w:line="460" w:lineRule="exact"/>
        <w:ind w:firstLine="48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注：报价人提交以上文件或证明的所有复印件应是最新（有效）、</w:t>
      </w:r>
      <w:r>
        <w:rPr>
          <w:rFonts w:hint="eastAsia" w:ascii="宋体" w:hAnsi="宋体" w:cs="宋体"/>
          <w:kern w:val="0"/>
          <w:sz w:val="24"/>
          <w:szCs w:val="24"/>
          <w:lang w:val="en-US" w:eastAsia="zh-CN"/>
        </w:rPr>
        <w:t>保证</w:t>
      </w:r>
      <w:r>
        <w:rPr>
          <w:rFonts w:hint="eastAsia" w:ascii="宋体" w:hAnsi="宋体" w:cs="宋体"/>
          <w:kern w:val="0"/>
          <w:sz w:val="24"/>
          <w:szCs w:val="24"/>
          <w:lang w:val="en-US" w:eastAsia="zh-Hans"/>
        </w:rPr>
        <w:t>清晰</w:t>
      </w:r>
      <w:r>
        <w:rPr>
          <w:rFonts w:hint="eastAsia" w:ascii="宋体" w:hAnsi="宋体" w:cs="宋体"/>
          <w:kern w:val="0"/>
          <w:sz w:val="24"/>
          <w:szCs w:val="24"/>
          <w:lang w:val="en-US" w:eastAsia="zh-CN"/>
        </w:rPr>
        <w:t>且</w:t>
      </w:r>
      <w:r>
        <w:rPr>
          <w:rFonts w:hint="eastAsia" w:ascii="宋体" w:hAnsi="宋体" w:cs="宋体"/>
          <w:kern w:val="0"/>
          <w:sz w:val="24"/>
          <w:szCs w:val="24"/>
          <w:lang w:val="en-US" w:eastAsia="zh-Hans"/>
        </w:rPr>
        <w:t>加盖公章，并有原件备查。报价人必须满足以上所有资格条件，有任何一条不满足，都将导致其报价文件按无效标处理。</w:t>
      </w:r>
    </w:p>
    <w:p w14:paraId="6DE34B20">
      <w:pPr>
        <w:spacing w:line="460" w:lineRule="exact"/>
        <w:ind w:firstLine="562" w:firstLineChars="200"/>
        <w:rPr>
          <w:rFonts w:hint="eastAsia" w:ascii="黑体" w:hAnsi="黑体" w:eastAsia="黑体" w:cs="黑体"/>
          <w:b/>
          <w:sz w:val="28"/>
          <w:szCs w:val="28"/>
          <w:lang w:val="en-US" w:eastAsia="zh-Hans"/>
        </w:rPr>
      </w:pPr>
      <w:r>
        <w:rPr>
          <w:rFonts w:hint="eastAsia" w:ascii="黑体" w:hAnsi="黑体" w:eastAsia="黑体" w:cs="黑体"/>
          <w:b/>
          <w:sz w:val="28"/>
          <w:szCs w:val="28"/>
          <w:lang w:val="en-US" w:eastAsia="zh-CN"/>
        </w:rPr>
        <w:t>三、</w:t>
      </w:r>
      <w:r>
        <w:rPr>
          <w:rFonts w:hint="eastAsia" w:ascii="黑体" w:hAnsi="黑体" w:eastAsia="黑体" w:cs="黑体"/>
          <w:b/>
          <w:sz w:val="28"/>
          <w:szCs w:val="28"/>
          <w:lang w:val="en-US" w:eastAsia="zh-Hans"/>
        </w:rPr>
        <w:t>服务技术要求</w:t>
      </w:r>
    </w:p>
    <w:p w14:paraId="249926AA">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1、普通级公/母巴马猪：阉过、清洁、健康未使用的，体重在35kg-40kg。</w:t>
      </w:r>
    </w:p>
    <w:p w14:paraId="76EB524F">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每次送动物时，提供动物检疫合格证明、实验动物质量合格证、实验动物档案（含品种品系等材料）和疫苗接种记录、溯源资料、当批次出具由国家认可相应资质的检测机构近3个月内合格的实验动物质量检测报告（猪瘟病毒、猪繁殖与呼吸综合征病毒、体外寄生虫、沙门菌、布鲁氏菌抗体、弓形虫抗体等），以上材料均随货提供。</w:t>
      </w:r>
    </w:p>
    <w:p w14:paraId="6442FEE8">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3、具有每月提供至少3只的供货能力，送达时间为每天的08:30-16:30。</w:t>
      </w:r>
    </w:p>
    <w:p w14:paraId="5202F944">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4、供应商所供实验动物运输方式和过程必须符合实验动物福利伦理的要求；实验动物必须由合格的实验动物运输车送到采购人指定地点，动物运送过程中应保证动物必要的福利，不得有虐待动物的现象发生；动物运输需采用相应级别的包装运输，包装内需提供合格的动物饲料（随货提供）；陆路运输时间不得超过24h。</w:t>
      </w:r>
    </w:p>
    <w:p w14:paraId="51D58E65">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5、临床表征：外观健康，营养状态良好，身体无可见损伤，无异味粘性分泌物、排便正常、体格健壮、毛发顺亮、行动活泼、精力充沛、呼吸均匀，无病残、无猪</w:t>
      </w:r>
      <w:r>
        <w:rPr>
          <w:rFonts w:hint="eastAsia" w:ascii="宋体" w:hAnsi="宋体" w:cs="宋体"/>
          <w:color w:val="000000" w:themeColor="text1"/>
          <w:kern w:val="0"/>
          <w:sz w:val="24"/>
          <w:szCs w:val="24"/>
          <w:lang w:val="en-US" w:eastAsia="zh-CN"/>
          <w14:textFill>
            <w14:solidFill>
              <w14:schemeClr w14:val="tx1"/>
            </w14:solidFill>
          </w14:textFill>
        </w:rPr>
        <w:t>口蹄疫</w:t>
      </w:r>
      <w:r>
        <w:rPr>
          <w:rFonts w:hint="eastAsia" w:ascii="宋体" w:hAnsi="宋体" w:cs="宋体"/>
          <w:kern w:val="0"/>
          <w:sz w:val="24"/>
          <w:szCs w:val="24"/>
          <w:lang w:val="en-US" w:eastAsia="zh-CN"/>
        </w:rPr>
        <w:t>、无猪瘟等。</w:t>
      </w:r>
    </w:p>
    <w:p w14:paraId="294A498A">
      <w:pPr>
        <w:spacing w:line="460" w:lineRule="exact"/>
        <w:ind w:firstLine="562" w:firstLineChars="200"/>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四、商务条件</w:t>
      </w:r>
    </w:p>
    <w:p w14:paraId="18B083D9">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采购包1：</w:t>
      </w:r>
    </w:p>
    <w:tbl>
      <w:tblPr>
        <w:tblStyle w:val="1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6"/>
        <w:gridCol w:w="1844"/>
        <w:gridCol w:w="5120"/>
      </w:tblGrid>
      <w:tr w14:paraId="17026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jc w:val="center"/>
        </w:trPr>
        <w:tc>
          <w:tcPr>
            <w:tcW w:w="756" w:type="dxa"/>
            <w:vAlign w:val="top"/>
          </w:tcPr>
          <w:p w14:paraId="0E0358DA">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序号</w:t>
            </w:r>
          </w:p>
        </w:tc>
        <w:tc>
          <w:tcPr>
            <w:tcW w:w="1844" w:type="dxa"/>
            <w:vAlign w:val="top"/>
          </w:tcPr>
          <w:p w14:paraId="66B75EF5">
            <w:pPr>
              <w:pStyle w:val="15"/>
              <w:widowControl/>
              <w:shd w:val="clear" w:color="auto" w:fill="FFFFFF"/>
              <w:spacing w:line="460" w:lineRule="exact"/>
              <w:ind w:left="0" w:leftChars="0" w:firstLine="240" w:firstLineChars="100"/>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类型</w:t>
            </w:r>
          </w:p>
        </w:tc>
        <w:tc>
          <w:tcPr>
            <w:tcW w:w="5120" w:type="dxa"/>
            <w:vAlign w:val="top"/>
          </w:tcPr>
          <w:p w14:paraId="3E0E5D55">
            <w:pPr>
              <w:pStyle w:val="15"/>
              <w:widowControl/>
              <w:shd w:val="clear" w:color="auto" w:fill="FFFFFF"/>
              <w:spacing w:line="460" w:lineRule="exact"/>
              <w:ind w:firstLine="48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要求</w:t>
            </w:r>
          </w:p>
        </w:tc>
      </w:tr>
      <w:tr w14:paraId="4DC60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6" w:type="dxa"/>
            <w:vAlign w:val="center"/>
          </w:tcPr>
          <w:p w14:paraId="72E25B27">
            <w:pPr>
              <w:pStyle w:val="15"/>
              <w:widowControl/>
              <w:shd w:val="clear" w:color="auto" w:fill="FFFFFF"/>
              <w:spacing w:line="460" w:lineRule="exact"/>
              <w:ind w:left="0" w:leftChars="0" w:firstLine="0" w:firstLineChars="0"/>
              <w:jc w:val="center"/>
              <w:rPr>
                <w:rFonts w:hint="default" w:ascii="宋体" w:hAnsi="宋体" w:cs="宋体"/>
                <w:kern w:val="0"/>
                <w:sz w:val="24"/>
                <w:szCs w:val="24"/>
                <w:lang w:val="en-US" w:eastAsia="zh-CN"/>
              </w:rPr>
            </w:pPr>
            <w:r>
              <w:rPr>
                <w:rFonts w:hint="eastAsia" w:ascii="宋体" w:hAnsi="宋体" w:cs="宋体"/>
                <w:color w:val="000000" w:themeColor="text1"/>
                <w:kern w:val="0"/>
                <w:sz w:val="24"/>
                <w:szCs w:val="24"/>
                <w:lang w:val="en-US" w:eastAsia="zh-CN"/>
                <w14:textFill>
                  <w14:solidFill>
                    <w14:schemeClr w14:val="tx1"/>
                  </w14:solidFill>
                </w14:textFill>
              </w:rPr>
              <w:t>1</w:t>
            </w:r>
          </w:p>
        </w:tc>
        <w:tc>
          <w:tcPr>
            <w:tcW w:w="1844" w:type="dxa"/>
            <w:vAlign w:val="center"/>
          </w:tcPr>
          <w:p w14:paraId="67B26A3B">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交货时间</w:t>
            </w:r>
          </w:p>
        </w:tc>
        <w:tc>
          <w:tcPr>
            <w:tcW w:w="5120" w:type="dxa"/>
            <w:shd w:val="clear" w:color="auto" w:fill="auto"/>
            <w:vAlign w:val="top"/>
          </w:tcPr>
          <w:p w14:paraId="60BCF770">
            <w:pPr>
              <w:pStyle w:val="15"/>
              <w:widowControl/>
              <w:shd w:val="clear" w:color="auto" w:fill="FFFFFF"/>
              <w:spacing w:line="460" w:lineRule="exact"/>
              <w:ind w:firstLine="48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服务期1年，合同签订后根据采购人要求分批送货，接到采购人送货通知后，成交供应商应积极响应，并按采购人的具体订货要求，在每批次下订单后5个工作日内送达。</w:t>
            </w:r>
          </w:p>
        </w:tc>
      </w:tr>
      <w:tr w14:paraId="2D8B7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6" w:type="dxa"/>
            <w:vAlign w:val="center"/>
          </w:tcPr>
          <w:p w14:paraId="12356B9C">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2</w:t>
            </w:r>
          </w:p>
        </w:tc>
        <w:tc>
          <w:tcPr>
            <w:tcW w:w="1844" w:type="dxa"/>
            <w:vAlign w:val="center"/>
          </w:tcPr>
          <w:p w14:paraId="564734ED">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交货地点</w:t>
            </w:r>
          </w:p>
        </w:tc>
        <w:tc>
          <w:tcPr>
            <w:tcW w:w="5120" w:type="dxa"/>
            <w:shd w:val="clear" w:color="auto" w:fill="auto"/>
            <w:vAlign w:val="top"/>
          </w:tcPr>
          <w:p w14:paraId="202C3A26">
            <w:pPr>
              <w:pStyle w:val="15"/>
              <w:widowControl/>
              <w:shd w:val="clear" w:color="auto" w:fill="FFFFFF"/>
              <w:spacing w:line="460" w:lineRule="exact"/>
              <w:ind w:firstLine="48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CN"/>
              </w:rPr>
              <w:t>福建医科大学附属第一医院（滨海院区)行政综合楼三楼</w:t>
            </w:r>
          </w:p>
        </w:tc>
      </w:tr>
      <w:tr w14:paraId="259AF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6" w:type="dxa"/>
            <w:vAlign w:val="center"/>
          </w:tcPr>
          <w:p w14:paraId="648F3827">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1844" w:type="dxa"/>
            <w:vAlign w:val="center"/>
          </w:tcPr>
          <w:p w14:paraId="25B88139">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交货条件</w:t>
            </w:r>
          </w:p>
        </w:tc>
        <w:tc>
          <w:tcPr>
            <w:tcW w:w="5120" w:type="dxa"/>
            <w:shd w:val="clear" w:color="auto" w:fill="auto"/>
            <w:vAlign w:val="top"/>
          </w:tcPr>
          <w:p w14:paraId="7B04CB29">
            <w:pPr>
              <w:pStyle w:val="15"/>
              <w:widowControl/>
              <w:shd w:val="clear" w:color="auto" w:fill="FFFFFF"/>
              <w:spacing w:line="460" w:lineRule="exact"/>
              <w:ind w:firstLine="48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CN"/>
              </w:rPr>
              <w:t>符合采购人的要求，通过采购人的验收。</w:t>
            </w:r>
          </w:p>
        </w:tc>
      </w:tr>
      <w:tr w14:paraId="49F51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6" w:type="dxa"/>
            <w:vAlign w:val="center"/>
          </w:tcPr>
          <w:p w14:paraId="46C734B9">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4</w:t>
            </w:r>
          </w:p>
        </w:tc>
        <w:tc>
          <w:tcPr>
            <w:tcW w:w="1844" w:type="dxa"/>
            <w:vAlign w:val="center"/>
          </w:tcPr>
          <w:p w14:paraId="2F98F759">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投标人验收</w:t>
            </w:r>
          </w:p>
        </w:tc>
        <w:tc>
          <w:tcPr>
            <w:tcW w:w="5120" w:type="dxa"/>
            <w:shd w:val="clear" w:color="auto" w:fill="auto"/>
            <w:vAlign w:val="top"/>
          </w:tcPr>
          <w:p w14:paraId="55262B6F">
            <w:pPr>
              <w:pStyle w:val="15"/>
              <w:widowControl/>
              <w:shd w:val="clear" w:color="auto" w:fill="FFFFFF"/>
              <w:spacing w:line="460" w:lineRule="exact"/>
              <w:ind w:firstLine="480"/>
              <w:jc w:val="left"/>
              <w:rPr>
                <w:rFonts w:hint="default" w:ascii="宋体" w:hAnsi="宋体" w:cs="宋体"/>
                <w:kern w:val="0"/>
                <w:sz w:val="24"/>
                <w:szCs w:val="24"/>
                <w:lang w:val="en-US" w:eastAsia="zh-Hans"/>
              </w:rPr>
            </w:pPr>
            <w:r>
              <w:rPr>
                <w:rFonts w:hint="eastAsia" w:ascii="宋体" w:hAnsi="宋体" w:cs="宋体"/>
                <w:kern w:val="0"/>
                <w:sz w:val="24"/>
                <w:szCs w:val="24"/>
                <w:lang w:val="en-US" w:eastAsia="zh-CN"/>
              </w:rPr>
              <w:t>发货前需验收合格再发货。</w:t>
            </w:r>
          </w:p>
        </w:tc>
      </w:tr>
      <w:tr w14:paraId="2F16C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6" w:type="dxa"/>
            <w:vAlign w:val="center"/>
          </w:tcPr>
          <w:p w14:paraId="70988F4B">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5</w:t>
            </w:r>
          </w:p>
        </w:tc>
        <w:tc>
          <w:tcPr>
            <w:tcW w:w="1844" w:type="dxa"/>
            <w:vAlign w:val="center"/>
          </w:tcPr>
          <w:p w14:paraId="1C8CA375">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履约验收方式</w:t>
            </w:r>
          </w:p>
        </w:tc>
        <w:tc>
          <w:tcPr>
            <w:tcW w:w="5120" w:type="dxa"/>
            <w:shd w:val="clear" w:color="auto" w:fill="auto"/>
            <w:vAlign w:val="top"/>
          </w:tcPr>
          <w:p w14:paraId="690B2C99">
            <w:pPr>
              <w:pStyle w:val="15"/>
              <w:widowControl/>
              <w:shd w:val="clear" w:color="auto" w:fill="FFFFFF"/>
              <w:spacing w:line="460" w:lineRule="exact"/>
              <w:ind w:firstLine="48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CN"/>
              </w:rPr>
              <w:t>按谈判文件、响应文件、采购合同、国家相关法律法规行业标准等相关要求验收。</w:t>
            </w:r>
          </w:p>
        </w:tc>
      </w:tr>
      <w:tr w14:paraId="0DC15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6" w:type="dxa"/>
            <w:vAlign w:val="center"/>
          </w:tcPr>
          <w:p w14:paraId="406E7B3E">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6</w:t>
            </w:r>
          </w:p>
        </w:tc>
        <w:tc>
          <w:tcPr>
            <w:tcW w:w="1844" w:type="dxa"/>
            <w:vAlign w:val="center"/>
          </w:tcPr>
          <w:p w14:paraId="63865A98">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合同支付方式</w:t>
            </w:r>
          </w:p>
        </w:tc>
        <w:tc>
          <w:tcPr>
            <w:tcW w:w="5120" w:type="dxa"/>
            <w:shd w:val="clear" w:color="auto" w:fill="auto"/>
            <w:vAlign w:val="top"/>
          </w:tcPr>
          <w:p w14:paraId="58CE9923">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合同生效后每个季度采购人收到成交供应商合法有效的等额增值税普通发票，达到付款条件起60日内，根据实际使用数量据实结算，</w:t>
            </w:r>
            <w:r>
              <w:rPr>
                <w:rFonts w:hint="eastAsia" w:ascii="宋体" w:hAnsi="宋体" w:cs="宋体"/>
                <w:kern w:val="0"/>
                <w:sz w:val="24"/>
                <w:szCs w:val="24"/>
              </w:rPr>
              <w:t>服务期合同期限届满1年或合同金额累计达到中标金额，该项目合同终止。</w:t>
            </w:r>
          </w:p>
        </w:tc>
      </w:tr>
      <w:tr w14:paraId="1323B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6" w:type="dxa"/>
            <w:vAlign w:val="center"/>
          </w:tcPr>
          <w:p w14:paraId="3918BC0B">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7</w:t>
            </w:r>
          </w:p>
        </w:tc>
        <w:tc>
          <w:tcPr>
            <w:tcW w:w="1844" w:type="dxa"/>
            <w:vAlign w:val="center"/>
          </w:tcPr>
          <w:p w14:paraId="06FFDFF6">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履约保证金</w:t>
            </w:r>
          </w:p>
        </w:tc>
        <w:tc>
          <w:tcPr>
            <w:tcW w:w="5120" w:type="dxa"/>
            <w:shd w:val="clear" w:color="auto" w:fill="auto"/>
            <w:vAlign w:val="top"/>
          </w:tcPr>
          <w:p w14:paraId="1D06F5D8">
            <w:pPr>
              <w:pStyle w:val="15"/>
              <w:widowControl/>
              <w:shd w:val="clear" w:color="auto" w:fill="FFFFFF"/>
              <w:spacing w:line="460" w:lineRule="exact"/>
              <w:ind w:firstLine="48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不缴纳</w:t>
            </w:r>
          </w:p>
        </w:tc>
      </w:tr>
    </w:tbl>
    <w:p w14:paraId="17705F54">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其他商务条件（以下内容为不允许负偏离的实质性要求）：</w:t>
      </w:r>
    </w:p>
    <w:p w14:paraId="12AB3D8A">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8.成交供应商未能履行合同项下的任何义务的，采购人有权单方面解除合同并要求成交供应商按合同约定支付违约金并赔偿损失，包括但不限于：</w:t>
      </w:r>
    </w:p>
    <w:p w14:paraId="7EA00223">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8.1 如果成交供应商未能按合同约定的时间或采购人指定期限按时足额交货，采购人有权要求成交供应商支付延期交货违约金；延期交货违约金为每迟交1天，按迟交货物合同金额的万分之五计算。</w:t>
      </w:r>
    </w:p>
    <w:p w14:paraId="27CC2615">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8.2 合同签订后，若成交供应商明确向采购人表示无法交货的，采购人有权要求成交供应商支付合同总金额4％的违约金，且有权单方面解除合同。</w:t>
      </w:r>
    </w:p>
    <w:p w14:paraId="4A56F4EE">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8.3 采购人有权从未付款项中扣除成交供应商应支付的违约金及损失，不足部分应由成交供应商另行支付；如未付款项在扣除成交供应商应支付的违约金及损失后仍有剩余的，采购人根据合同约定向成交供应商支付或退回剩余款项。</w:t>
      </w:r>
    </w:p>
    <w:p w14:paraId="7883044D">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9.验收标准</w:t>
      </w:r>
    </w:p>
    <w:p w14:paraId="323019FC">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9.1 成交供应商应提供货物的有效检验文件及供货清单，经采购人认可后，与货物性能指标、合同内容一起作为货物验收标准。采购人对货物验收合格后，双方共同签署验收合格单。验收中发现货物达不到验收标准或合同规定的性能指标，成交供应商必须更换货物。并且赔偿由此给采购人造成的损失。</w:t>
      </w:r>
    </w:p>
    <w:p w14:paraId="0292EF2F">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9.2 验收合格条件：查看动物状态，清点动物数量，查验随单实验动物合格证信息；使用效果符合招标要求；在进行验收使用过程中发现的问题已被排除，并得到采购人的认可；所有合同中规定的货物、资料都已提交并得到接收；实验动物7天内出现疾病或死亡，视为整批动物未验收合格。</w:t>
      </w:r>
    </w:p>
    <w:p w14:paraId="6F506A6A">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10.售后服务</w:t>
      </w:r>
    </w:p>
    <w:p w14:paraId="7EC4FF72">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10.1 实验动物送到后，由采购人负责验货，如出现与订购要求不相符或者动物皮毛不光滑、肛门不清洁等动物健康问题，或者供应已做过动物实验的恶劣现象，采购人有权拒收动物，成交供应商必须在当天内补送，所有费用由成交供应商支付。以上现象不能累积超过三次，如超过三次，采购人有权将其取消供应资格。动物接收后七天内未经任何动物实验发生疾病或死亡的，成交供应商须在三个工作日内补送，所有费用由成交供应商支付。</w:t>
      </w:r>
    </w:p>
    <w:p w14:paraId="3DFA8752">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10.2 实验动物到货出现死亡, 或有其他质量问题，成交供应商应给予免费补发；如检疫期间发现动物质量有问题，双方协商解决；如检疫期内动物发生死亡，成交供应商负责免费补发。</w:t>
      </w:r>
    </w:p>
    <w:p w14:paraId="7E62F40A">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10.3 成交供应商提供执业兽医支持（必要时需现场支持），服务期内所发生的一切费用，均由成交供应商负责。接到采购人技术服务要求后，4小时内做出响应，必要时24小时内派兽医到达现场服务。</w:t>
      </w:r>
    </w:p>
    <w:p w14:paraId="313B7623">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10.4 非采购人原因造成的一切需要二次及以上运输等费用由成交供应商自行承担。</w:t>
      </w:r>
    </w:p>
    <w:bookmarkEnd w:id="0"/>
    <w:p w14:paraId="35C8FA95">
      <w:pPr>
        <w:spacing w:line="460" w:lineRule="exact"/>
        <w:ind w:firstLine="562" w:firstLineChars="200"/>
        <w:rPr>
          <w:rFonts w:hint="eastAsia" w:ascii="黑体" w:hAnsi="黑体" w:eastAsia="黑体" w:cs="黑体"/>
          <w:b/>
          <w:sz w:val="28"/>
          <w:szCs w:val="28"/>
          <w:lang w:val="en-US" w:eastAsia="zh-Hans"/>
        </w:rPr>
      </w:pPr>
      <w:r>
        <w:rPr>
          <w:rFonts w:hint="eastAsia" w:ascii="黑体" w:hAnsi="黑体" w:eastAsia="黑体" w:cs="黑体"/>
          <w:b/>
          <w:sz w:val="28"/>
          <w:szCs w:val="28"/>
          <w:lang w:val="en-US" w:eastAsia="zh-CN"/>
        </w:rPr>
        <w:t>五</w:t>
      </w:r>
      <w:r>
        <w:rPr>
          <w:rFonts w:hint="eastAsia" w:ascii="黑体" w:hAnsi="黑体" w:eastAsia="黑体" w:cs="黑体"/>
          <w:b/>
          <w:sz w:val="28"/>
          <w:szCs w:val="28"/>
          <w:lang w:val="en-US" w:eastAsia="zh-Hans"/>
        </w:rPr>
        <w:t>、响应文件的编制</w:t>
      </w:r>
    </w:p>
    <w:p w14:paraId="114EFFAA">
      <w:pPr>
        <w:pStyle w:val="15"/>
        <w:widowControl/>
        <w:shd w:val="clear" w:color="auto" w:fill="FFFFFF"/>
        <w:spacing w:line="460" w:lineRule="exact"/>
        <w:ind w:firstLine="48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供应商响应文件正本一份、副本</w:t>
      </w:r>
      <w:r>
        <w:rPr>
          <w:rFonts w:hint="eastAsia" w:ascii="宋体" w:hAnsi="宋体" w:cs="宋体"/>
          <w:kern w:val="0"/>
          <w:sz w:val="24"/>
          <w:szCs w:val="24"/>
          <w:lang w:val="en-US" w:eastAsia="zh-CN"/>
        </w:rPr>
        <w:t>三</w:t>
      </w:r>
      <w:r>
        <w:rPr>
          <w:rFonts w:hint="eastAsia" w:ascii="宋体" w:hAnsi="宋体" w:cs="宋体"/>
          <w:kern w:val="0"/>
          <w:sz w:val="24"/>
          <w:szCs w:val="24"/>
          <w:lang w:val="en-US" w:eastAsia="zh-Hans"/>
        </w:rPr>
        <w:t>份。正本必须用A4幅面纸张打印，应编制封面、目录、页码，必须用胶装（为永久性、无破坏不可拆分）装订成册，加盖骑缝章或逐页盖章，封面须加盖公章，在封面标明“正本”字样。副本可用正本的复印件，在封面标明“副本”字样。正本与副本、电子文本如有不一致，则以正本为准。</w:t>
      </w:r>
    </w:p>
    <w:p w14:paraId="50A9A276">
      <w:pPr>
        <w:pStyle w:val="15"/>
        <w:widowControl/>
        <w:shd w:val="clear" w:color="auto" w:fill="FFFFFF"/>
        <w:spacing w:line="460" w:lineRule="exact"/>
        <w:ind w:firstLine="48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注：1、超过预算限价的报价为无效报价。</w:t>
      </w:r>
    </w:p>
    <w:p w14:paraId="4426D635">
      <w:pPr>
        <w:pStyle w:val="15"/>
        <w:widowControl/>
        <w:shd w:val="clear" w:color="auto" w:fill="FFFFFF"/>
        <w:spacing w:line="460" w:lineRule="exact"/>
        <w:ind w:firstLine="48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2、竞争性谈判是在资格、商务和技术部分都满足的情况下，采用最低价中标法，因此以上（一、资格标准）和（</w:t>
      </w:r>
      <w:r>
        <w:rPr>
          <w:rFonts w:hint="eastAsia" w:ascii="宋体" w:hAnsi="宋体" w:cs="宋体"/>
          <w:kern w:val="0"/>
          <w:sz w:val="24"/>
          <w:szCs w:val="24"/>
          <w:lang w:val="en-US" w:eastAsia="zh-CN"/>
        </w:rPr>
        <w:t>三</w:t>
      </w:r>
      <w:r>
        <w:rPr>
          <w:rFonts w:hint="eastAsia" w:ascii="宋体" w:hAnsi="宋体" w:cs="宋体"/>
          <w:kern w:val="0"/>
          <w:sz w:val="24"/>
          <w:szCs w:val="24"/>
          <w:lang w:val="en-US" w:eastAsia="zh-Hans"/>
        </w:rPr>
        <w:t>、技术要求）都要在响应文件中进行完全响应，未完全响应则投标无效。</w:t>
      </w:r>
    </w:p>
    <w:p w14:paraId="4996E446">
      <w:pPr>
        <w:pStyle w:val="15"/>
        <w:widowControl/>
        <w:shd w:val="clear" w:color="auto" w:fill="FFFFFF"/>
        <w:spacing w:line="460" w:lineRule="exact"/>
        <w:ind w:firstLine="48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3、供应商所提交的报价为一次性报价</w:t>
      </w:r>
      <w:r>
        <w:rPr>
          <w:rFonts w:hint="eastAsia" w:ascii="宋体" w:hAnsi="宋体" w:cs="宋体"/>
          <w:kern w:val="0"/>
          <w:sz w:val="24"/>
          <w:szCs w:val="24"/>
          <w:lang w:val="en-US" w:eastAsia="zh-CN"/>
        </w:rPr>
        <w:t>，若出现同一报价，现场再进行</w:t>
      </w:r>
      <w:bookmarkStart w:id="1" w:name="_GoBack"/>
      <w:bookmarkEnd w:id="1"/>
      <w:r>
        <w:rPr>
          <w:rFonts w:hint="eastAsia" w:ascii="宋体" w:hAnsi="宋体" w:cs="宋体"/>
          <w:kern w:val="0"/>
          <w:sz w:val="24"/>
          <w:szCs w:val="24"/>
          <w:lang w:val="en-US" w:eastAsia="zh-CN"/>
        </w:rPr>
        <w:t>二次报价</w:t>
      </w:r>
      <w:r>
        <w:rPr>
          <w:rFonts w:hint="eastAsia" w:ascii="宋体" w:hAnsi="宋体" w:cs="宋体"/>
          <w:kern w:val="0"/>
          <w:sz w:val="24"/>
          <w:szCs w:val="24"/>
          <w:lang w:val="en-US" w:eastAsia="zh-Hans"/>
        </w:rPr>
        <w:t>。</w:t>
      </w:r>
    </w:p>
    <w:p w14:paraId="6E3C1D43">
      <w:pPr>
        <w:pStyle w:val="15"/>
        <w:widowControl/>
        <w:shd w:val="clear" w:color="auto" w:fill="FFFFFF"/>
        <w:spacing w:line="460" w:lineRule="exact"/>
        <w:ind w:firstLine="48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Hans"/>
        </w:rPr>
        <w:t>4、</w:t>
      </w:r>
      <w:r>
        <w:rPr>
          <w:rFonts w:hint="eastAsia" w:ascii="宋体" w:hAnsi="宋体" w:cs="宋体"/>
          <w:kern w:val="0"/>
          <w:sz w:val="24"/>
          <w:szCs w:val="24"/>
          <w:lang w:val="en-US" w:eastAsia="zh-CN"/>
        </w:rPr>
        <w:t>响应文件可通过邮寄、现场提交等方式，邮寄地址：福建省福州市台江区茶中路20号福建医科大学附属第一医院教育处4楼403室，联系人：陈老师，联系电话：0591-87981292，若投标人未参加开标会（包括但不限于投标人派出的人员不是投标人代表），视同其对开标过程和开标记录予以认可。</w:t>
      </w:r>
    </w:p>
    <w:sectPr>
      <w:pgSz w:w="11906" w:h="16838"/>
      <w:pgMar w:top="1440" w:right="1253" w:bottom="1440" w:left="12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hZWRkMjNjYzkwZGRlMTM4YTFhZWUyMzczNzExMTQifQ=="/>
  </w:docVars>
  <w:rsids>
    <w:rsidRoot w:val="004A2A4C"/>
    <w:rsid w:val="000A4132"/>
    <w:rsid w:val="00294AE8"/>
    <w:rsid w:val="004921F7"/>
    <w:rsid w:val="004A2A4C"/>
    <w:rsid w:val="006C7464"/>
    <w:rsid w:val="00723302"/>
    <w:rsid w:val="00781C34"/>
    <w:rsid w:val="007E79DC"/>
    <w:rsid w:val="009A3EBB"/>
    <w:rsid w:val="00A51B52"/>
    <w:rsid w:val="00A70C37"/>
    <w:rsid w:val="00B52690"/>
    <w:rsid w:val="00B85F2E"/>
    <w:rsid w:val="00BF77EE"/>
    <w:rsid w:val="00C20AFE"/>
    <w:rsid w:val="00D259B8"/>
    <w:rsid w:val="00EC5D03"/>
    <w:rsid w:val="00ED3BD8"/>
    <w:rsid w:val="00FF59ED"/>
    <w:rsid w:val="010356B7"/>
    <w:rsid w:val="02CF5C27"/>
    <w:rsid w:val="032F3F3A"/>
    <w:rsid w:val="03D64210"/>
    <w:rsid w:val="04CC7C6B"/>
    <w:rsid w:val="04CD34EE"/>
    <w:rsid w:val="07D37F63"/>
    <w:rsid w:val="07E2057E"/>
    <w:rsid w:val="08EE19B4"/>
    <w:rsid w:val="0A3A19D7"/>
    <w:rsid w:val="0B403483"/>
    <w:rsid w:val="0B776EC0"/>
    <w:rsid w:val="0C9B7EBC"/>
    <w:rsid w:val="0CED2245"/>
    <w:rsid w:val="0D273323"/>
    <w:rsid w:val="0D755621"/>
    <w:rsid w:val="0D903C4C"/>
    <w:rsid w:val="0E4137B5"/>
    <w:rsid w:val="0FFE61D0"/>
    <w:rsid w:val="10221ED0"/>
    <w:rsid w:val="10806817"/>
    <w:rsid w:val="117F1CC3"/>
    <w:rsid w:val="124F567E"/>
    <w:rsid w:val="126A1D21"/>
    <w:rsid w:val="12D06EB6"/>
    <w:rsid w:val="13267A75"/>
    <w:rsid w:val="133A1F99"/>
    <w:rsid w:val="14234F88"/>
    <w:rsid w:val="1524753B"/>
    <w:rsid w:val="15460D75"/>
    <w:rsid w:val="15DA1A35"/>
    <w:rsid w:val="161539CC"/>
    <w:rsid w:val="16403678"/>
    <w:rsid w:val="16C67F6C"/>
    <w:rsid w:val="177A5491"/>
    <w:rsid w:val="17A93DE2"/>
    <w:rsid w:val="17B934CD"/>
    <w:rsid w:val="17D11723"/>
    <w:rsid w:val="18294330"/>
    <w:rsid w:val="1A830C8C"/>
    <w:rsid w:val="1ACC4B81"/>
    <w:rsid w:val="1AD734D7"/>
    <w:rsid w:val="1B895FBB"/>
    <w:rsid w:val="1C163621"/>
    <w:rsid w:val="1C9706F7"/>
    <w:rsid w:val="1CB80C2C"/>
    <w:rsid w:val="1CF10B9E"/>
    <w:rsid w:val="1D8E3BF5"/>
    <w:rsid w:val="1DD106B2"/>
    <w:rsid w:val="1E7B1B91"/>
    <w:rsid w:val="1EF1268E"/>
    <w:rsid w:val="1F184F13"/>
    <w:rsid w:val="201D6D3F"/>
    <w:rsid w:val="203F6EF4"/>
    <w:rsid w:val="20633C30"/>
    <w:rsid w:val="20D23D3F"/>
    <w:rsid w:val="23387ED6"/>
    <w:rsid w:val="236C6AEC"/>
    <w:rsid w:val="25853561"/>
    <w:rsid w:val="26E72CF4"/>
    <w:rsid w:val="27004A09"/>
    <w:rsid w:val="28EB10B1"/>
    <w:rsid w:val="29E14AC1"/>
    <w:rsid w:val="2A041A16"/>
    <w:rsid w:val="2A5266D7"/>
    <w:rsid w:val="2AB56C65"/>
    <w:rsid w:val="2B2838DB"/>
    <w:rsid w:val="2BD17ACF"/>
    <w:rsid w:val="2BDD3602"/>
    <w:rsid w:val="2C3428C9"/>
    <w:rsid w:val="2D691E8F"/>
    <w:rsid w:val="2DFD2703"/>
    <w:rsid w:val="3050190A"/>
    <w:rsid w:val="30667050"/>
    <w:rsid w:val="308952B0"/>
    <w:rsid w:val="30ED7159"/>
    <w:rsid w:val="311330A7"/>
    <w:rsid w:val="32086A25"/>
    <w:rsid w:val="32D22A86"/>
    <w:rsid w:val="33512240"/>
    <w:rsid w:val="337E4009"/>
    <w:rsid w:val="34AB11F7"/>
    <w:rsid w:val="35044A71"/>
    <w:rsid w:val="356E6D37"/>
    <w:rsid w:val="35941976"/>
    <w:rsid w:val="35E26CF6"/>
    <w:rsid w:val="367D10F2"/>
    <w:rsid w:val="36AE1B85"/>
    <w:rsid w:val="396A4FBD"/>
    <w:rsid w:val="39A86313"/>
    <w:rsid w:val="3A29797A"/>
    <w:rsid w:val="3AC7657F"/>
    <w:rsid w:val="3B4E3ED9"/>
    <w:rsid w:val="3B6B3809"/>
    <w:rsid w:val="3C10781A"/>
    <w:rsid w:val="3D580050"/>
    <w:rsid w:val="3D651046"/>
    <w:rsid w:val="3E6807DB"/>
    <w:rsid w:val="3E686071"/>
    <w:rsid w:val="3ECF3E9B"/>
    <w:rsid w:val="3F052CF0"/>
    <w:rsid w:val="3F23526A"/>
    <w:rsid w:val="3F366D42"/>
    <w:rsid w:val="40202543"/>
    <w:rsid w:val="408234E1"/>
    <w:rsid w:val="40F45D9F"/>
    <w:rsid w:val="41022B36"/>
    <w:rsid w:val="41275F7A"/>
    <w:rsid w:val="41412BA9"/>
    <w:rsid w:val="429C4E56"/>
    <w:rsid w:val="44134CD1"/>
    <w:rsid w:val="448654A3"/>
    <w:rsid w:val="44D84400"/>
    <w:rsid w:val="44F66B00"/>
    <w:rsid w:val="489436FE"/>
    <w:rsid w:val="48D6398B"/>
    <w:rsid w:val="4B5D1C1D"/>
    <w:rsid w:val="4BA460A8"/>
    <w:rsid w:val="4C7D7F89"/>
    <w:rsid w:val="4D465454"/>
    <w:rsid w:val="4E197388"/>
    <w:rsid w:val="4E606D65"/>
    <w:rsid w:val="4FE2609D"/>
    <w:rsid w:val="508F1A38"/>
    <w:rsid w:val="51640797"/>
    <w:rsid w:val="52077FA0"/>
    <w:rsid w:val="532365B3"/>
    <w:rsid w:val="54CF0B10"/>
    <w:rsid w:val="552968C4"/>
    <w:rsid w:val="55EA1FEA"/>
    <w:rsid w:val="56727B5F"/>
    <w:rsid w:val="56D9408C"/>
    <w:rsid w:val="57252E86"/>
    <w:rsid w:val="573A75A8"/>
    <w:rsid w:val="575823DC"/>
    <w:rsid w:val="577F009D"/>
    <w:rsid w:val="57CA1416"/>
    <w:rsid w:val="58E75F4B"/>
    <w:rsid w:val="59134C30"/>
    <w:rsid w:val="5A507EBB"/>
    <w:rsid w:val="5ADF69B1"/>
    <w:rsid w:val="5B417F1E"/>
    <w:rsid w:val="5B6B6089"/>
    <w:rsid w:val="5C025303"/>
    <w:rsid w:val="5C4C26D6"/>
    <w:rsid w:val="5D092797"/>
    <w:rsid w:val="5F59087D"/>
    <w:rsid w:val="5F791132"/>
    <w:rsid w:val="5FA479F8"/>
    <w:rsid w:val="61F514C6"/>
    <w:rsid w:val="625C216F"/>
    <w:rsid w:val="63041683"/>
    <w:rsid w:val="63483071"/>
    <w:rsid w:val="637C3959"/>
    <w:rsid w:val="64006F9C"/>
    <w:rsid w:val="64A5552C"/>
    <w:rsid w:val="659B25C1"/>
    <w:rsid w:val="6695025A"/>
    <w:rsid w:val="68242759"/>
    <w:rsid w:val="687F4CCA"/>
    <w:rsid w:val="69B5367B"/>
    <w:rsid w:val="6A782E92"/>
    <w:rsid w:val="6AA17676"/>
    <w:rsid w:val="6C030941"/>
    <w:rsid w:val="6DCC7033"/>
    <w:rsid w:val="6F1B6955"/>
    <w:rsid w:val="70FC6DAB"/>
    <w:rsid w:val="7179553A"/>
    <w:rsid w:val="72DA63FB"/>
    <w:rsid w:val="73231CF3"/>
    <w:rsid w:val="74AB0875"/>
    <w:rsid w:val="74BB4393"/>
    <w:rsid w:val="751C5F2B"/>
    <w:rsid w:val="758B5965"/>
    <w:rsid w:val="76224BDE"/>
    <w:rsid w:val="76514429"/>
    <w:rsid w:val="774C33C7"/>
    <w:rsid w:val="77ED700C"/>
    <w:rsid w:val="78CE2508"/>
    <w:rsid w:val="79515378"/>
    <w:rsid w:val="79537342"/>
    <w:rsid w:val="79C1634F"/>
    <w:rsid w:val="7AA9084B"/>
    <w:rsid w:val="7B365EB0"/>
    <w:rsid w:val="7B5C3B71"/>
    <w:rsid w:val="7B9A53FD"/>
    <w:rsid w:val="7B9C27BD"/>
    <w:rsid w:val="7BD01932"/>
    <w:rsid w:val="7DCC76C3"/>
    <w:rsid w:val="7DDE038D"/>
    <w:rsid w:val="7DEF3EAB"/>
    <w:rsid w:val="7E4418D2"/>
    <w:rsid w:val="7EA03CCE"/>
    <w:rsid w:val="7F107805"/>
    <w:rsid w:val="7F141322"/>
    <w:rsid w:val="7F2E4837"/>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link w:val="16"/>
    <w:qFormat/>
    <w:uiPriority w:val="99"/>
    <w:pPr>
      <w:spacing w:after="120"/>
      <w:ind w:left="420" w:leftChars="200"/>
    </w:pPr>
  </w:style>
  <w:style w:type="paragraph" w:styleId="4">
    <w:name w:val="Balloon Text"/>
    <w:basedOn w:val="1"/>
    <w:link w:val="18"/>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rFonts w:ascii="等线" w:hAnsi="等线" w:eastAsia="等线" w:cs="宋体"/>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rFonts w:ascii="等线" w:hAnsi="等线" w:eastAsia="等线" w:cs="宋体"/>
      <w:sz w:val="18"/>
      <w:szCs w:val="18"/>
    </w:rPr>
  </w:style>
  <w:style w:type="paragraph" w:styleId="7">
    <w:name w:val="Body Text 2"/>
    <w:basedOn w:val="1"/>
    <w:unhideWhenUsed/>
    <w:qFormat/>
    <w:uiPriority w:val="99"/>
    <w:pPr>
      <w:spacing w:after="120" w:line="480" w:lineRule="auto"/>
    </w:pPr>
  </w:style>
  <w:style w:type="paragraph" w:styleId="8">
    <w:name w:val="Normal (Web)"/>
    <w:basedOn w:val="1"/>
    <w:qFormat/>
    <w:uiPriority w:val="0"/>
    <w:pPr>
      <w:spacing w:before="100" w:beforeAutospacing="1" w:after="100" w:afterAutospacing="1"/>
      <w:jc w:val="left"/>
    </w:pPr>
    <w:rPr>
      <w:rFonts w:ascii="Calibri" w:hAnsi="Calibri"/>
      <w:kern w:val="0"/>
      <w:sz w:val="24"/>
    </w:rPr>
  </w:style>
  <w:style w:type="paragraph" w:styleId="9">
    <w:name w:val="Body Text First Indent 2"/>
    <w:basedOn w:val="3"/>
    <w:link w:val="17"/>
    <w:qFormat/>
    <w:uiPriority w:val="99"/>
    <w:pPr>
      <w:ind w:firstLine="420" w:firstLineChars="200"/>
    </w:pPr>
  </w:style>
  <w:style w:type="character" w:styleId="12">
    <w:name w:val="Strong"/>
    <w:qFormat/>
    <w:uiPriority w:val="0"/>
    <w:rPr>
      <w:b/>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paragraph" w:styleId="15">
    <w:name w:val="List Paragraph"/>
    <w:basedOn w:val="1"/>
    <w:qFormat/>
    <w:uiPriority w:val="34"/>
    <w:pPr>
      <w:ind w:firstLine="420" w:firstLineChars="200"/>
    </w:pPr>
    <w:rPr>
      <w:rFonts w:ascii="Calibri" w:hAnsi="Calibri"/>
      <w:szCs w:val="22"/>
    </w:rPr>
  </w:style>
  <w:style w:type="character" w:customStyle="1" w:styleId="16">
    <w:name w:val="正文文本缩进 字符"/>
    <w:basedOn w:val="11"/>
    <w:link w:val="3"/>
    <w:qFormat/>
    <w:uiPriority w:val="99"/>
    <w:rPr>
      <w:rFonts w:ascii="Times New Roman" w:hAnsi="Times New Roman" w:eastAsia="宋体" w:cs="Times New Roman"/>
      <w:szCs w:val="24"/>
    </w:rPr>
  </w:style>
  <w:style w:type="character" w:customStyle="1" w:styleId="17">
    <w:name w:val="正文文本首行缩进 2 字符"/>
    <w:basedOn w:val="16"/>
    <w:link w:val="9"/>
    <w:qFormat/>
    <w:uiPriority w:val="99"/>
    <w:rPr>
      <w:rFonts w:ascii="Times New Roman" w:hAnsi="Times New Roman" w:eastAsia="宋体" w:cs="Times New Roman"/>
      <w:szCs w:val="24"/>
    </w:rPr>
  </w:style>
  <w:style w:type="character" w:customStyle="1" w:styleId="18">
    <w:name w:val="批注框文本 字符"/>
    <w:basedOn w:val="11"/>
    <w:link w:val="4"/>
    <w:qFormat/>
    <w:uiPriority w:val="99"/>
    <w:rPr>
      <w:rFonts w:ascii="Times New Roman" w:hAnsi="Times New Roman" w:eastAsia="宋体" w:cs="Times New Roman"/>
      <w:sz w:val="18"/>
      <w:szCs w:val="18"/>
    </w:rPr>
  </w:style>
  <w:style w:type="paragraph" w:customStyle="1" w:styleId="19">
    <w:name w:val="null3"/>
    <w:qFormat/>
    <w:uiPriority w:val="0"/>
    <w:rPr>
      <w:rFonts w:ascii="Calibri" w:hAnsi="Calibri" w:eastAsia="宋体" w:cs="Times New Roman"/>
      <w:lang w:val="en-US" w:eastAsia="zh-CN" w:bidi="ar-SA"/>
    </w:rPr>
  </w:style>
  <w:style w:type="paragraph" w:customStyle="1" w:styleId="20">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1888</Words>
  <Characters>1950</Characters>
  <Lines>10</Lines>
  <Paragraphs>2</Paragraphs>
  <TotalTime>37</TotalTime>
  <ScaleCrop>false</ScaleCrop>
  <LinksUpToDate>false</LinksUpToDate>
  <CharactersWithSpaces>1983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2023-08-16T07:15:00Z</dcterms:created>
  <dc:creator>wang xingang</dc:creator>
  <cp:lastModifiedBy>陈彩湄</cp:lastModifiedBy>
  <cp:lastPrinted>2025-10-31T02:54:00Z</cp:lastPrinted>
  <dcterms:modified xsi:type="dcterms:W3CDTF">2026-06-03T08:54:21Z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F28D29CA74C54A17A949F8ACFA5AAEB9_13</vt:lpwstr>
  </property>
  <property fmtid="{D5CDD505-2E9C-101B-9397-08002B2CF9AE}" pid="4" name="MSIP_Label_0325b4bc-8082-4c4b-b948-0f4d47284351_Enabled">
    <vt:lpwstr>true</vt:lpwstr>
  </property>
  <property fmtid="{D5CDD505-2E9C-101B-9397-08002B2CF9AE}" pid="5" name="MSIP_Label_0325b4bc-8082-4c4b-b948-0f4d47284351_SetDate">
    <vt:lpwstr>2023-08-15T15:04:36Z</vt:lpwstr>
  </property>
  <property fmtid="{D5CDD505-2E9C-101B-9397-08002B2CF9AE}" pid="6" name="MSIP_Label_0325b4bc-8082-4c4b-b948-0f4d47284351_Method">
    <vt:lpwstr>Privileged</vt:lpwstr>
  </property>
  <property fmtid="{D5CDD505-2E9C-101B-9397-08002B2CF9AE}" pid="7" name="MSIP_Label_0325b4bc-8082-4c4b-b948-0f4d47284351_Name">
    <vt:lpwstr>Internal</vt:lpwstr>
  </property>
  <property fmtid="{D5CDD505-2E9C-101B-9397-08002B2CF9AE}" pid="8" name="MSIP_Label_0325b4bc-8082-4c4b-b948-0f4d47284351_SiteId">
    <vt:lpwstr>e8d897a8-f400-4625-858a-6f3ae627542b</vt:lpwstr>
  </property>
  <property fmtid="{D5CDD505-2E9C-101B-9397-08002B2CF9AE}" pid="9" name="MSIP_Label_0325b4bc-8082-4c4b-b948-0f4d47284351_ActionId">
    <vt:lpwstr>49ccb046-2e9e-4d57-8dac-3ac8816b4fd7</vt:lpwstr>
  </property>
  <property fmtid="{D5CDD505-2E9C-101B-9397-08002B2CF9AE}" pid="10" name="MSIP_Label_0325b4bc-8082-4c4b-b948-0f4d47284351_ContentBits">
    <vt:lpwstr>0</vt:lpwstr>
  </property>
  <property fmtid="{D5CDD505-2E9C-101B-9397-08002B2CF9AE}" pid="11" name="KSOTemplateDocerSaveRecord">
    <vt:lpwstr>eyJoZGlkIjoiOTBkYzE5MWZlNzlkN2I1NDJkNTNkMWY1MGU4NzI2YjciLCJ1c2VySWQiOiIxNzAwMzE3MjgzIn0=</vt:lpwstr>
  </property>
</Properties>
</file>