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01E558">
      <w:pPr>
        <w:spacing w:line="440" w:lineRule="exact"/>
        <w:jc w:val="left"/>
        <w:rPr>
          <w:rFonts w:hint="eastAsia" w:ascii="宋体" w:hAnsi="宋体" w:cs="宋体"/>
          <w:b/>
          <w:bCs/>
          <w:color w:val="555555"/>
          <w:sz w:val="32"/>
          <w:szCs w:val="32"/>
          <w:shd w:val="clear" w:color="auto" w:fill="FFFFFF"/>
          <w:lang w:val="en-US" w:eastAsia="zh-CN"/>
        </w:rPr>
      </w:pPr>
      <w:r>
        <w:rPr>
          <w:rFonts w:hint="eastAsia" w:ascii="宋体" w:hAnsi="宋体" w:cs="宋体"/>
          <w:b/>
          <w:bCs/>
          <w:color w:val="555555"/>
          <w:sz w:val="32"/>
          <w:szCs w:val="32"/>
          <w:shd w:val="clear" w:color="auto" w:fill="FFFFFF"/>
          <w:lang w:val="en-US" w:eastAsia="zh-CN"/>
        </w:rPr>
        <w:t>附件一：</w:t>
      </w:r>
    </w:p>
    <w:p w14:paraId="0783D59D">
      <w:pPr>
        <w:spacing w:line="440" w:lineRule="exact"/>
        <w:jc w:val="left"/>
        <w:rPr>
          <w:rFonts w:hint="eastAsia" w:ascii="宋体" w:hAnsi="宋体" w:cs="宋体"/>
          <w:b/>
          <w:bCs/>
          <w:color w:val="555555"/>
          <w:sz w:val="32"/>
          <w:szCs w:val="32"/>
          <w:shd w:val="clear" w:color="auto" w:fill="FFFFFF"/>
          <w:lang w:val="en-US" w:eastAsia="zh-CN"/>
        </w:rPr>
      </w:pPr>
    </w:p>
    <w:p w14:paraId="03C5D8BF">
      <w:pPr>
        <w:spacing w:line="440" w:lineRule="exact"/>
        <w:jc w:val="left"/>
        <w:rPr>
          <w:rFonts w:ascii="宋体" w:hAnsi="宋体" w:cs="宋体"/>
          <w:b/>
          <w:bCs/>
          <w:color w:val="555555"/>
          <w:sz w:val="32"/>
          <w:szCs w:val="32"/>
          <w:shd w:val="clear" w:color="auto" w:fill="FFFFFF"/>
        </w:rPr>
      </w:pPr>
      <w:r>
        <w:rPr>
          <w:rFonts w:hint="eastAsia" w:ascii="宋体" w:hAnsi="宋体" w:cs="宋体"/>
          <w:b/>
          <w:bCs/>
          <w:color w:val="555555"/>
          <w:sz w:val="32"/>
          <w:szCs w:val="32"/>
          <w:shd w:val="clear" w:color="auto" w:fill="FFFFFF"/>
        </w:rPr>
        <w:t>“医药代表接待管理系统”二维码：</w:t>
      </w:r>
    </w:p>
    <w:p w14:paraId="686B6D5D">
      <w:pPr>
        <w:rPr>
          <w:rFonts w:hint="eastAsia" w:eastAsia="Noto Sans SC"/>
          <w:lang w:eastAsia="zh-CN"/>
        </w:rPr>
      </w:pPr>
      <w:r>
        <w:rPr>
          <w:rFonts w:hint="eastAsia" w:eastAsia="Noto Sans SC"/>
          <w:lang w:eastAsia="zh-CN"/>
        </w:rPr>
        <w:drawing>
          <wp:inline distT="0" distB="0" distL="114300" distR="114300">
            <wp:extent cx="5266690" cy="5998210"/>
            <wp:effectExtent l="0" t="0" r="10160" b="2540"/>
            <wp:docPr id="1" name="图片 1" descr="医药代表登记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医药代表登记表"/>
                    <pic:cNvPicPr>
                      <a:picLocks noChangeAspect="1"/>
                    </pic:cNvPicPr>
                  </pic:nvPicPr>
                  <pic:blipFill>
                    <a:blip r:embed="rId4"/>
                    <a:stretch>
                      <a:fillRect/>
                    </a:stretch>
                  </pic:blipFill>
                  <pic:spPr>
                    <a:xfrm>
                      <a:off x="0" y="0"/>
                      <a:ext cx="5266690" cy="5998210"/>
                    </a:xfrm>
                    <a:prstGeom prst="rect">
                      <a:avLst/>
                    </a:prstGeom>
                  </pic:spPr>
                </pic:pic>
              </a:graphicData>
            </a:graphic>
          </wp:inline>
        </w:drawing>
      </w:r>
    </w:p>
    <w:p w14:paraId="484A316B">
      <w:pPr>
        <w:pStyle w:val="6"/>
        <w:widowControl/>
        <w:spacing w:beforeAutospacing="0" w:afterAutospacing="0"/>
        <w:rPr>
          <w:rFonts w:hint="eastAsia" w:ascii="Noto Sans SC" w:hAnsi="Noto Sans SC" w:eastAsia="Noto Sans SC" w:cs="Noto Sans SC"/>
          <w:color w:val="000000"/>
          <w:sz w:val="27"/>
          <w:szCs w:val="27"/>
        </w:rPr>
      </w:pPr>
    </w:p>
    <w:p w14:paraId="775E3A6C">
      <w:pPr>
        <w:pStyle w:val="6"/>
        <w:widowControl/>
        <w:spacing w:beforeAutospacing="0" w:afterAutospacing="0"/>
        <w:rPr>
          <w:rFonts w:hint="eastAsia" w:ascii="Noto Sans SC" w:hAnsi="Noto Sans SC" w:eastAsia="Noto Sans SC" w:cs="Noto Sans SC"/>
          <w:color w:val="000000"/>
          <w:sz w:val="27"/>
          <w:szCs w:val="27"/>
        </w:rPr>
      </w:pPr>
    </w:p>
    <w:p w14:paraId="2C353469">
      <w:pPr>
        <w:pStyle w:val="6"/>
        <w:widowControl/>
        <w:spacing w:beforeAutospacing="0" w:afterAutospacing="0"/>
        <w:rPr>
          <w:rFonts w:hint="eastAsia" w:ascii="Noto Sans SC" w:hAnsi="Noto Sans SC" w:eastAsia="Noto Sans SC" w:cs="Noto Sans SC"/>
          <w:color w:val="000000"/>
          <w:sz w:val="27"/>
          <w:szCs w:val="27"/>
        </w:rPr>
      </w:pPr>
    </w:p>
    <w:p w14:paraId="514B1567">
      <w:pPr>
        <w:pStyle w:val="6"/>
        <w:widowControl/>
        <w:spacing w:beforeAutospacing="0" w:afterAutospacing="0"/>
        <w:rPr>
          <w:rFonts w:hint="eastAsia" w:ascii="Noto Sans SC" w:hAnsi="Noto Sans SC" w:eastAsia="Noto Sans SC" w:cs="Noto Sans SC"/>
          <w:color w:val="000000"/>
          <w:sz w:val="27"/>
          <w:szCs w:val="27"/>
        </w:rPr>
      </w:pPr>
    </w:p>
    <w:p w14:paraId="3B652D8C">
      <w:pPr>
        <w:pStyle w:val="6"/>
        <w:widowControl/>
        <w:spacing w:beforeAutospacing="0" w:afterAutospacing="0"/>
        <w:rPr>
          <w:rFonts w:hint="eastAsia" w:ascii="Noto Sans SC" w:hAnsi="Noto Sans SC" w:eastAsia="Noto Sans SC" w:cs="Noto Sans SC"/>
          <w:color w:val="000000"/>
          <w:sz w:val="27"/>
          <w:szCs w:val="27"/>
        </w:rPr>
      </w:pPr>
    </w:p>
    <w:p w14:paraId="5AD03B0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lang w:val="en-US" w:eastAsia="zh-CN"/>
        </w:rPr>
      </w:pPr>
    </w:p>
    <w:p w14:paraId="388D412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附件二：</w:t>
      </w:r>
    </w:p>
    <w:p w14:paraId="18D6053B">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福建医科大学附属第一医院：</w:t>
      </w:r>
    </w:p>
    <w:p w14:paraId="7B30E9CE">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本公司自愿参与贵院</w:t>
      </w:r>
      <w:r>
        <w:rPr>
          <w:rFonts w:hint="eastAsia" w:ascii="宋体" w:hAnsi="宋体" w:eastAsia="宋体" w:cs="宋体"/>
          <w:b w:val="0"/>
          <w:bCs w:val="0"/>
          <w:color w:val="000000"/>
          <w:sz w:val="24"/>
          <w:szCs w:val="24"/>
          <w:u w:val="single"/>
        </w:rPr>
        <w:t xml:space="preserve">                                     </w:t>
      </w:r>
      <w:r>
        <w:rPr>
          <w:rFonts w:hint="eastAsia" w:ascii="宋体" w:hAnsi="宋体" w:eastAsia="宋体" w:cs="宋体"/>
          <w:b w:val="0"/>
          <w:bCs w:val="0"/>
          <w:color w:val="000000"/>
          <w:sz w:val="24"/>
          <w:szCs w:val="24"/>
        </w:rPr>
        <w:t>项目</w:t>
      </w:r>
      <w:r>
        <w:rPr>
          <w:rFonts w:hint="eastAsia" w:ascii="宋体" w:hAnsi="宋体" w:eastAsia="宋体" w:cs="宋体"/>
          <w:b w:val="0"/>
          <w:bCs w:val="0"/>
          <w:color w:val="000000"/>
          <w:sz w:val="24"/>
          <w:szCs w:val="24"/>
          <w:lang w:val="en-US" w:eastAsia="zh-CN"/>
        </w:rPr>
        <w:t>介绍</w:t>
      </w:r>
      <w:r>
        <w:rPr>
          <w:rFonts w:hint="eastAsia" w:ascii="宋体" w:hAnsi="宋体" w:eastAsia="宋体" w:cs="宋体"/>
          <w:b w:val="0"/>
          <w:bCs w:val="0"/>
          <w:color w:val="000000"/>
          <w:sz w:val="24"/>
          <w:szCs w:val="24"/>
        </w:rPr>
        <w:t>论证，在此郑重承诺本公司</w:t>
      </w:r>
      <w:r>
        <w:rPr>
          <w:rFonts w:hint="eastAsia" w:ascii="宋体" w:hAnsi="宋体" w:eastAsia="宋体" w:cs="宋体"/>
          <w:b w:val="0"/>
          <w:bCs w:val="0"/>
          <w:color w:val="000000"/>
          <w:sz w:val="24"/>
          <w:szCs w:val="24"/>
          <w:lang w:eastAsia="zh-Hans"/>
        </w:rPr>
        <w:t>持有合法的企业营业执照</w:t>
      </w:r>
      <w:r>
        <w:rPr>
          <w:rFonts w:hint="eastAsia" w:ascii="宋体" w:hAnsi="宋体" w:eastAsia="宋体" w:cs="宋体"/>
          <w:b w:val="0"/>
          <w:bCs w:val="0"/>
          <w:color w:val="000000"/>
          <w:sz w:val="24"/>
          <w:szCs w:val="24"/>
        </w:rPr>
        <w:t>，</w:t>
      </w:r>
      <w:r>
        <w:rPr>
          <w:rFonts w:hint="eastAsia" w:ascii="宋体" w:hAnsi="宋体" w:eastAsia="宋体" w:cs="宋体"/>
          <w:b w:val="0"/>
          <w:bCs w:val="0"/>
          <w:color w:val="000000"/>
          <w:sz w:val="24"/>
          <w:szCs w:val="24"/>
          <w:lang w:val="en-US" w:eastAsia="zh-CN"/>
        </w:rPr>
        <w:t>及</w:t>
      </w:r>
      <w:r>
        <w:rPr>
          <w:rFonts w:hint="eastAsia" w:ascii="宋体" w:hAnsi="宋体" w:eastAsia="宋体" w:cs="宋体"/>
          <w:b w:val="0"/>
          <w:bCs w:val="0"/>
          <w:color w:val="000000"/>
          <w:sz w:val="24"/>
          <w:szCs w:val="24"/>
        </w:rPr>
        <w:t>以下相关材料内容真实、合法、有效。</w:t>
      </w:r>
    </w:p>
    <w:p w14:paraId="7065F670">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eastAsia="zh-Hans" w:bidi="ar"/>
        </w:rPr>
        <w:t>营业执照复</w:t>
      </w:r>
      <w:r>
        <w:rPr>
          <w:rFonts w:hint="eastAsia" w:ascii="宋体" w:hAnsi="宋体" w:eastAsia="宋体" w:cs="宋体"/>
          <w:b w:val="0"/>
          <w:bCs w:val="0"/>
          <w:color w:val="000000"/>
          <w:kern w:val="0"/>
          <w:sz w:val="24"/>
          <w:szCs w:val="24"/>
          <w:lang w:bidi="ar"/>
        </w:rPr>
        <w:t>印</w:t>
      </w:r>
      <w:r>
        <w:rPr>
          <w:rFonts w:hint="eastAsia" w:ascii="宋体" w:hAnsi="宋体" w:eastAsia="宋体" w:cs="宋体"/>
          <w:b w:val="0"/>
          <w:bCs w:val="0"/>
          <w:color w:val="000000"/>
          <w:kern w:val="0"/>
          <w:sz w:val="24"/>
          <w:szCs w:val="24"/>
          <w:lang w:eastAsia="zh-Hans" w:bidi="ar"/>
        </w:rPr>
        <w:t>件并加盖公章</w:t>
      </w:r>
      <w:r>
        <w:rPr>
          <w:rFonts w:hint="eastAsia" w:ascii="宋体" w:hAnsi="宋体" w:eastAsia="宋体" w:cs="宋体"/>
          <w:b w:val="0"/>
          <w:bCs w:val="0"/>
          <w:color w:val="000000"/>
          <w:kern w:val="0"/>
          <w:sz w:val="24"/>
          <w:szCs w:val="24"/>
          <w:lang w:eastAsia="zh-CN" w:bidi="ar"/>
        </w:rPr>
        <w:t>（</w:t>
      </w:r>
      <w:r>
        <w:rPr>
          <w:rFonts w:hint="eastAsia" w:ascii="宋体" w:hAnsi="宋体" w:eastAsia="宋体" w:cs="宋体"/>
          <w:b w:val="0"/>
          <w:bCs w:val="0"/>
          <w:color w:val="000000"/>
          <w:kern w:val="0"/>
          <w:sz w:val="24"/>
          <w:szCs w:val="24"/>
          <w:lang w:val="en-US" w:eastAsia="zh-CN" w:bidi="ar"/>
        </w:rPr>
        <w:t>需清晰可见）</w:t>
      </w:r>
    </w:p>
    <w:p w14:paraId="084FC39F">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val="0"/>
          <w:bCs w:val="0"/>
          <w:color w:val="000000"/>
          <w:kern w:val="0"/>
          <w:sz w:val="24"/>
          <w:szCs w:val="24"/>
          <w:lang w:val="en-US" w:eastAsia="zh-CN" w:bidi="ar"/>
        </w:rPr>
      </w:pPr>
    </w:p>
    <w:p w14:paraId="1A7E3211">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项目报价（需包含维保服务人工费、配件费、运费、安装调试费、差旅费、税费等一切费用）。</w:t>
      </w:r>
    </w:p>
    <w:p w14:paraId="46F9CC9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bidi="ar"/>
        </w:rPr>
      </w:pPr>
    </w:p>
    <w:p w14:paraId="7FC2A32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三、供应商维保服务方案（依我院公示的项目要求进行响应，方案需包含但不仅限于以下几个方面）</w:t>
      </w:r>
    </w:p>
    <w:p w14:paraId="74A6EC0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1、维保范围：</w:t>
      </w:r>
    </w:p>
    <w:p w14:paraId="10D115DF">
      <w:pPr>
        <w:keepNext w:val="0"/>
        <w:keepLines w:val="0"/>
        <w:pageBreakBefore w:val="0"/>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正电子发射磁共振成像系统 PET/MR(设备型号：3.0T Signa PET/MR，序列号：PGPET22000059SC）。包括但不局限于：AW工作站、磁体、线圈、液氦、制冷系统保用服务；</w:t>
      </w:r>
    </w:p>
    <w:p w14:paraId="44C161DB">
      <w:pPr>
        <w:keepNext w:val="0"/>
        <w:keepLines w:val="0"/>
        <w:pageBreakBefore w:val="0"/>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单光子发射及 X 射线计算机断层成像系统 SPECT/CT（设备型号：NM/CT 870 DR，序列号：NT3DG2200006BH）。包括但不局限于：AW工作站、探测器、晶体、光电倍增管保用服务，不包含球管保用；</w:t>
      </w:r>
    </w:p>
    <w:p w14:paraId="7A89DB16">
      <w:pPr>
        <w:keepNext w:val="0"/>
        <w:keepLines w:val="0"/>
        <w:pageBreakBefore w:val="0"/>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正电子发射及 X 射线计算机断层成像系统 PET/CT（设备型号：Discovery MI，序列号：CLX252200002PT）。包括但不局限于：AW工作站、探测器保用服务、球管。</w:t>
      </w:r>
    </w:p>
    <w:p w14:paraId="4592A79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2、保修期内维保人工及配件费用全免。为保证整机性能安全稳定，所更换的备件必须与原设备完全兼容且不得影响设备的安全性能与使用效果，不会给设备带来危害，维修后的设备须符合原设备技术指标及相应的国家质量标准要求，并提供零配件的相关材料。维修更换的备件须提供备件合格证书，若为进口配件还须提供报关单材料。</w:t>
      </w:r>
    </w:p>
    <w:p w14:paraId="0B73938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3、球管、探测器、磁体等高值配件的更换，需提供与原设备完全匹配的原厂原装配件，不会给设备带来危害且备件来源合法合规。</w:t>
      </w:r>
    </w:p>
    <w:p w14:paraId="5CC1CA95">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leftChars="0"/>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4、设备的开机率不低于（98%），按全年365天计算：是否能完全响应。</w:t>
      </w:r>
    </w:p>
    <w:p w14:paraId="7497C5D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5、配件要求：是否提供原厂零备件、是否为全新件，备品备件的到场时间、在国内是否设有专门的零备件仓库等。</w:t>
      </w:r>
    </w:p>
    <w:p w14:paraId="1146F4C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6、服务响应情况：是否能提供7×24小时全天候服务响应，报修响应时间，人员到场时间等。</w:t>
      </w:r>
    </w:p>
    <w:p w14:paraId="03B829F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7、预防性维保情况：年度保养次数，保养方案等。</w:t>
      </w:r>
    </w:p>
    <w:p w14:paraId="14580A9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8、人员配备情况：能为本项目配备具有</w:t>
      </w:r>
      <w:r>
        <w:rPr>
          <w:rFonts w:hint="default" w:ascii="宋体" w:hAnsi="宋体" w:eastAsia="宋体" w:cs="宋体"/>
          <w:b w:val="0"/>
          <w:bCs w:val="0"/>
          <w:color w:val="000000"/>
          <w:kern w:val="0"/>
          <w:sz w:val="24"/>
          <w:szCs w:val="24"/>
          <w:lang w:val="en-US" w:eastAsia="zh-CN" w:bidi="ar"/>
        </w:rPr>
        <w:t>专业技术能力的专职维修工程师</w:t>
      </w:r>
      <w:r>
        <w:rPr>
          <w:rFonts w:hint="eastAsia" w:ascii="宋体" w:hAnsi="宋体" w:eastAsia="宋体" w:cs="宋体"/>
          <w:b w:val="0"/>
          <w:bCs w:val="0"/>
          <w:color w:val="000000"/>
          <w:kern w:val="0"/>
          <w:sz w:val="24"/>
          <w:szCs w:val="24"/>
          <w:lang w:val="en-US" w:eastAsia="zh-CN" w:bidi="ar"/>
        </w:rPr>
        <w:t>的人数，</w:t>
      </w:r>
      <w:r>
        <w:rPr>
          <w:rFonts w:hint="default" w:ascii="宋体" w:hAnsi="宋体" w:eastAsia="宋体" w:cs="宋体"/>
          <w:b w:val="0"/>
          <w:bCs w:val="0"/>
          <w:color w:val="000000"/>
          <w:kern w:val="0"/>
          <w:sz w:val="24"/>
          <w:szCs w:val="24"/>
          <w:lang w:val="en-US" w:eastAsia="zh-CN" w:bidi="ar"/>
        </w:rPr>
        <w:t>工程师</w:t>
      </w:r>
      <w:r>
        <w:rPr>
          <w:rFonts w:hint="eastAsia" w:ascii="宋体" w:hAnsi="宋体" w:eastAsia="宋体" w:cs="宋体"/>
          <w:b w:val="0"/>
          <w:bCs w:val="0"/>
          <w:color w:val="000000"/>
          <w:kern w:val="0"/>
          <w:sz w:val="24"/>
          <w:szCs w:val="24"/>
          <w:lang w:val="en-US" w:eastAsia="zh-CN" w:bidi="ar"/>
        </w:rPr>
        <w:t>是否具备</w:t>
      </w:r>
      <w:r>
        <w:rPr>
          <w:rFonts w:hint="default" w:ascii="宋体" w:hAnsi="宋体" w:eastAsia="宋体" w:cs="宋体"/>
          <w:b w:val="0"/>
          <w:bCs w:val="0"/>
          <w:color w:val="000000"/>
          <w:kern w:val="0"/>
          <w:sz w:val="24"/>
          <w:szCs w:val="24"/>
          <w:lang w:val="en-US" w:eastAsia="zh-CN" w:bidi="ar"/>
        </w:rPr>
        <w:t>经设备原厂技术培训合格并认证的工程师资质证书</w:t>
      </w:r>
      <w:r>
        <w:rPr>
          <w:rFonts w:hint="eastAsia" w:ascii="Segoe UI" w:hAnsi="Segoe UI" w:eastAsia="宋体" w:cs="Segoe UI"/>
          <w:i w:val="0"/>
          <w:iCs w:val="0"/>
          <w:caps w:val="0"/>
          <w:color w:val="0F1115"/>
          <w:spacing w:val="0"/>
          <w:sz w:val="24"/>
          <w:szCs w:val="24"/>
          <w:shd w:val="clear" w:fill="FFFFFF"/>
          <w:lang w:eastAsia="zh-CN"/>
        </w:rPr>
        <w:t>，</w:t>
      </w:r>
      <w:r>
        <w:rPr>
          <w:rFonts w:hint="eastAsia" w:ascii="宋体" w:hAnsi="宋体" w:eastAsia="宋体" w:cs="宋体"/>
          <w:b w:val="0"/>
          <w:bCs w:val="0"/>
          <w:color w:val="000000"/>
          <w:kern w:val="0"/>
          <w:sz w:val="24"/>
          <w:szCs w:val="24"/>
          <w:lang w:val="en-US" w:eastAsia="zh-CN" w:bidi="ar"/>
        </w:rPr>
        <w:t>是否具备项目相关各类专业证书、培训证书等。</w:t>
      </w:r>
    </w:p>
    <w:p w14:paraId="1F320B06">
      <w:pPr>
        <w:keepNext w:val="0"/>
        <w:keepLines w:val="0"/>
        <w:pageBreakBefore w:val="0"/>
        <w:kinsoku/>
        <w:wordWrap/>
        <w:overflowPunct/>
        <w:topLinePunct w:val="0"/>
        <w:autoSpaceDE/>
        <w:autoSpaceDN/>
        <w:bidi w:val="0"/>
        <w:adjustRightInd/>
        <w:snapToGrid/>
        <w:spacing w:line="360" w:lineRule="auto"/>
        <w:textAlignment w:val="auto"/>
        <w:rPr>
          <w:rFonts w:hint="default"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9、服务期内是否能免费提供设备的系统软件升级补丁和技术支持，保证所有系统软件为最新版本，提供符合最新国标的设备软硬件升级服务。</w:t>
      </w:r>
    </w:p>
    <w:p w14:paraId="0EA1227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kern w:val="0"/>
          <w:sz w:val="24"/>
          <w:szCs w:val="24"/>
          <w:lang w:val="en-US" w:eastAsia="zh-CN" w:bidi="ar"/>
        </w:rPr>
        <w:t>10</w:t>
      </w:r>
      <w:bookmarkStart w:id="0" w:name="_GoBack"/>
      <w:bookmarkEnd w:id="0"/>
      <w:r>
        <w:rPr>
          <w:rFonts w:hint="eastAsia" w:ascii="宋体" w:hAnsi="宋体" w:eastAsia="宋体" w:cs="宋体"/>
          <w:b w:val="0"/>
          <w:bCs w:val="0"/>
          <w:color w:val="000000"/>
          <w:kern w:val="0"/>
          <w:sz w:val="24"/>
          <w:szCs w:val="24"/>
          <w:lang w:val="en-US" w:eastAsia="zh-CN" w:bidi="ar"/>
        </w:rPr>
        <w:t>、</w:t>
      </w:r>
      <w:r>
        <w:rPr>
          <w:rFonts w:hint="eastAsia" w:ascii="宋体" w:hAnsi="宋体" w:eastAsia="宋体" w:cs="宋体"/>
          <w:b w:val="0"/>
          <w:bCs w:val="0"/>
          <w:color w:val="000000"/>
          <w:sz w:val="24"/>
          <w:szCs w:val="24"/>
        </w:rPr>
        <w:t>应急措施：</w:t>
      </w:r>
      <w:r>
        <w:rPr>
          <w:rFonts w:hint="eastAsia" w:ascii="宋体" w:hAnsi="宋体" w:eastAsia="宋体" w:cs="宋体"/>
          <w:b w:val="0"/>
          <w:bCs w:val="0"/>
          <w:color w:val="000000"/>
          <w:sz w:val="24"/>
          <w:szCs w:val="24"/>
          <w:lang w:val="en-US" w:eastAsia="zh-CN"/>
        </w:rPr>
        <w:t>是否能</w:t>
      </w:r>
      <w:r>
        <w:rPr>
          <w:rFonts w:hint="eastAsia" w:ascii="宋体" w:hAnsi="宋体" w:eastAsia="宋体" w:cs="宋体"/>
          <w:b w:val="0"/>
          <w:bCs w:val="0"/>
          <w:color w:val="000000"/>
          <w:sz w:val="24"/>
          <w:szCs w:val="24"/>
        </w:rPr>
        <w:t>提供远程技术支持，</w:t>
      </w:r>
      <w:r>
        <w:rPr>
          <w:rFonts w:hint="eastAsia" w:ascii="宋体" w:hAnsi="宋体" w:eastAsia="宋体" w:cs="宋体"/>
          <w:b w:val="0"/>
          <w:bCs w:val="0"/>
          <w:color w:val="000000"/>
          <w:sz w:val="24"/>
          <w:szCs w:val="24"/>
          <w:lang w:val="en-US" w:eastAsia="zh-CN"/>
        </w:rPr>
        <w:t>是否能提供备用机、</w:t>
      </w:r>
      <w:r>
        <w:rPr>
          <w:rFonts w:hint="eastAsia" w:ascii="宋体" w:hAnsi="宋体" w:eastAsia="宋体" w:cs="宋体"/>
          <w:b w:val="0"/>
          <w:bCs w:val="0"/>
          <w:color w:val="000000"/>
          <w:sz w:val="24"/>
          <w:szCs w:val="24"/>
        </w:rPr>
        <w:t>备品备件</w:t>
      </w:r>
      <w:r>
        <w:rPr>
          <w:rFonts w:hint="eastAsia" w:ascii="宋体" w:hAnsi="宋体" w:eastAsia="宋体" w:cs="宋体"/>
          <w:b w:val="0"/>
          <w:bCs w:val="0"/>
          <w:color w:val="000000"/>
          <w:sz w:val="24"/>
          <w:szCs w:val="24"/>
          <w:lang w:val="en-US" w:eastAsia="zh-CN"/>
        </w:rPr>
        <w:t>的紧急调配</w:t>
      </w:r>
      <w:r>
        <w:rPr>
          <w:rFonts w:hint="eastAsia" w:ascii="宋体" w:hAnsi="宋体" w:eastAsia="宋体" w:cs="宋体"/>
          <w:b w:val="0"/>
          <w:bCs w:val="0"/>
          <w:color w:val="000000"/>
          <w:sz w:val="24"/>
          <w:szCs w:val="24"/>
        </w:rPr>
        <w:t>、突发事件处理方案等</w:t>
      </w:r>
      <w:r>
        <w:rPr>
          <w:rFonts w:hint="eastAsia" w:ascii="宋体" w:hAnsi="宋体" w:eastAsia="宋体" w:cs="宋体"/>
          <w:b w:val="0"/>
          <w:bCs w:val="0"/>
          <w:color w:val="000000"/>
          <w:sz w:val="24"/>
          <w:szCs w:val="24"/>
          <w:lang w:eastAsia="zh-CN"/>
        </w:rPr>
        <w:t>。</w:t>
      </w:r>
    </w:p>
    <w:p w14:paraId="57367C92">
      <w:pPr>
        <w:rPr>
          <w:rFonts w:hint="default" w:ascii="宋体" w:hAnsi="宋体" w:eastAsia="宋体" w:cs="宋体"/>
          <w:b w:val="0"/>
          <w:bCs w:val="0"/>
          <w:color w:val="000000"/>
          <w:sz w:val="28"/>
          <w:szCs w:val="28"/>
          <w:lang w:val="en-US" w:eastAsia="zh-CN"/>
        </w:rPr>
      </w:pPr>
    </w:p>
    <w:sectPr>
      <w:pgSz w:w="11906" w:h="16838"/>
      <w:pgMar w:top="1134" w:right="1134" w:bottom="1134" w:left="113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Noto Sans SC">
    <w:panose1 w:val="020B0200000000000000"/>
    <w:charset w:val="86"/>
    <w:family w:val="swiss"/>
    <w:pitch w:val="default"/>
    <w:sig w:usb0="20000083" w:usb1="2ADF3C10" w:usb2="00000016" w:usb3="00000000" w:csb0="60060107" w:csb1="00000000"/>
  </w:font>
  <w:font w:name="KSOFE44F9426">
    <w:panose1 w:val="02010609060101010101"/>
    <w:charset w:val="86"/>
    <w:family w:val="auto"/>
    <w:pitch w:val="default"/>
    <w:sig w:usb0="00000001"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EE0517"/>
    <w:multiLevelType w:val="singleLevel"/>
    <w:tmpl w:val="00EE0517"/>
    <w:lvl w:ilvl="0" w:tentative="0">
      <w:start w:val="1"/>
      <w:numFmt w:val="decimal"/>
      <w:lvlText w:val="(%1)"/>
      <w:lvlJc w:val="left"/>
      <w:pPr>
        <w:ind w:left="425" w:hanging="425"/>
      </w:pPr>
      <w:rPr>
        <w:rFonts w:hint="default"/>
      </w:rPr>
    </w:lvl>
  </w:abstractNum>
  <w:abstractNum w:abstractNumId="1">
    <w:nsid w:val="47364D5A"/>
    <w:multiLevelType w:val="singleLevel"/>
    <w:tmpl w:val="47364D5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AE6F26"/>
    <w:rsid w:val="00915104"/>
    <w:rsid w:val="009E6912"/>
    <w:rsid w:val="00AC2628"/>
    <w:rsid w:val="00BE6657"/>
    <w:rsid w:val="00C9314D"/>
    <w:rsid w:val="018E7169"/>
    <w:rsid w:val="024535A0"/>
    <w:rsid w:val="02832A46"/>
    <w:rsid w:val="037759DB"/>
    <w:rsid w:val="04DC4690"/>
    <w:rsid w:val="09267F21"/>
    <w:rsid w:val="0BCD50A8"/>
    <w:rsid w:val="108D3B8A"/>
    <w:rsid w:val="122B4561"/>
    <w:rsid w:val="156C041B"/>
    <w:rsid w:val="18B76B4E"/>
    <w:rsid w:val="18FE477D"/>
    <w:rsid w:val="1C1578D6"/>
    <w:rsid w:val="1CDD6D9F"/>
    <w:rsid w:val="1F10520A"/>
    <w:rsid w:val="200F7270"/>
    <w:rsid w:val="227C4964"/>
    <w:rsid w:val="261C6242"/>
    <w:rsid w:val="292C49EE"/>
    <w:rsid w:val="2A524DEB"/>
    <w:rsid w:val="2B634FBD"/>
    <w:rsid w:val="2BCF4BE7"/>
    <w:rsid w:val="2CDF3245"/>
    <w:rsid w:val="2DDE4924"/>
    <w:rsid w:val="2E06778F"/>
    <w:rsid w:val="2EED4C20"/>
    <w:rsid w:val="31E652DD"/>
    <w:rsid w:val="31F2254D"/>
    <w:rsid w:val="31FB58A6"/>
    <w:rsid w:val="34302C43"/>
    <w:rsid w:val="350A2ADD"/>
    <w:rsid w:val="36BD312A"/>
    <w:rsid w:val="398E0DAD"/>
    <w:rsid w:val="3BCB5776"/>
    <w:rsid w:val="3CF61143"/>
    <w:rsid w:val="3FE21E53"/>
    <w:rsid w:val="3FF34060"/>
    <w:rsid w:val="41D852BC"/>
    <w:rsid w:val="435412BA"/>
    <w:rsid w:val="43DF7A71"/>
    <w:rsid w:val="43FB2662"/>
    <w:rsid w:val="45981F4D"/>
    <w:rsid w:val="46326F64"/>
    <w:rsid w:val="467D0B27"/>
    <w:rsid w:val="46F93FAE"/>
    <w:rsid w:val="4B571947"/>
    <w:rsid w:val="4CAE6F26"/>
    <w:rsid w:val="4DD95A7F"/>
    <w:rsid w:val="4FF260E2"/>
    <w:rsid w:val="52A1794C"/>
    <w:rsid w:val="566E3FE9"/>
    <w:rsid w:val="56A31EE4"/>
    <w:rsid w:val="57340CF2"/>
    <w:rsid w:val="57452946"/>
    <w:rsid w:val="5A9F22A4"/>
    <w:rsid w:val="5B85605C"/>
    <w:rsid w:val="5D7F6ADB"/>
    <w:rsid w:val="5DB83B9F"/>
    <w:rsid w:val="5E8D0662"/>
    <w:rsid w:val="60EC16EE"/>
    <w:rsid w:val="623E19AE"/>
    <w:rsid w:val="624E4B9F"/>
    <w:rsid w:val="628A3F58"/>
    <w:rsid w:val="63BE035D"/>
    <w:rsid w:val="65976197"/>
    <w:rsid w:val="65B37C6A"/>
    <w:rsid w:val="67C63C85"/>
    <w:rsid w:val="68B7537B"/>
    <w:rsid w:val="6A5A4B58"/>
    <w:rsid w:val="6E501734"/>
    <w:rsid w:val="703D085C"/>
    <w:rsid w:val="70716758"/>
    <w:rsid w:val="70891CF3"/>
    <w:rsid w:val="740873D3"/>
    <w:rsid w:val="74B4020F"/>
    <w:rsid w:val="766C3C49"/>
    <w:rsid w:val="77673E7E"/>
    <w:rsid w:val="79C97604"/>
    <w:rsid w:val="7A37456E"/>
    <w:rsid w:val="7B5B2589"/>
    <w:rsid w:val="7D2A6AD2"/>
    <w:rsid w:val="7D9F2E48"/>
    <w:rsid w:val="7EB02B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b/>
      <w:bCs/>
      <w:color w:val="000000" w:themeColor="text1"/>
      <w:kern w:val="28"/>
      <w:sz w:val="21"/>
      <w:szCs w:val="21"/>
      <w:lang w:val="en-US" w:eastAsia="zh-CN" w:bidi="ar-SA"/>
      <w14:textFill>
        <w14:solidFill>
          <w14:schemeClr w14:val="tx1"/>
        </w14:solidFill>
      </w14:textFill>
    </w:rPr>
  </w:style>
  <w:style w:type="paragraph" w:styleId="2">
    <w:name w:val="heading 1"/>
    <w:basedOn w:val="1"/>
    <w:next w:val="1"/>
    <w:qFormat/>
    <w:uiPriority w:val="0"/>
    <w:pPr>
      <w:spacing w:before="100" w:beforeAutospacing="1" w:after="100" w:afterAutospacing="1"/>
      <w:jc w:val="center"/>
      <w:outlineLvl w:val="0"/>
    </w:pPr>
    <w:rPr>
      <w:rFonts w:hint="eastAsia" w:ascii="宋体" w:hAnsi="宋体" w:eastAsia="宋体" w:cs="Times New Roman"/>
      <w:kern w:val="44"/>
      <w:sz w:val="28"/>
      <w:szCs w:val="4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semiHidden/>
    <w:unhideWhenUsed/>
    <w:qFormat/>
    <w:uiPriority w:val="99"/>
    <w:pPr>
      <w:spacing w:after="120"/>
      <w:ind w:left="420" w:leftChars="200"/>
    </w:pPr>
  </w:style>
  <w:style w:type="paragraph" w:styleId="4">
    <w:name w:val="footer"/>
    <w:basedOn w:val="1"/>
    <w:link w:val="16"/>
    <w:qFormat/>
    <w:uiPriority w:val="0"/>
    <w:pPr>
      <w:tabs>
        <w:tab w:val="center" w:pos="4153"/>
        <w:tab w:val="right" w:pos="8306"/>
      </w:tabs>
      <w:snapToGrid w:val="0"/>
      <w:jc w:val="left"/>
    </w:pPr>
    <w:rPr>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Body Text First Indent 2"/>
    <w:basedOn w:val="3"/>
    <w:semiHidden/>
    <w:unhideWhenUsed/>
    <w:qFormat/>
    <w:uiPriority w:val="99"/>
    <w:pPr>
      <w:ind w:firstLine="420" w:firstLineChars="200"/>
    </w:pPr>
    <w:rPr>
      <w:rFonts w:ascii="Times New Roman" w:hAnsi="Times New Roman" w:eastAsia="宋体" w:cs="Times New Roman"/>
      <w:szCs w:val="24"/>
    </w:rPr>
  </w:style>
  <w:style w:type="character" w:styleId="10">
    <w:name w:val="Strong"/>
    <w:qFormat/>
    <w:uiPriority w:val="22"/>
    <w:rPr>
      <w:b/>
      <w:bCs/>
    </w:rPr>
  </w:style>
  <w:style w:type="character" w:styleId="11">
    <w:name w:val="Hyperlink"/>
    <w:basedOn w:val="9"/>
    <w:qFormat/>
    <w:uiPriority w:val="0"/>
    <w:rPr>
      <w:color w:val="0000FF"/>
      <w:u w:val="single"/>
    </w:rPr>
  </w:style>
  <w:style w:type="paragraph" w:styleId="12">
    <w:name w:val="List Paragraph"/>
    <w:basedOn w:val="1"/>
    <w:qFormat/>
    <w:uiPriority w:val="34"/>
    <w:pPr>
      <w:ind w:firstLine="420" w:firstLineChars="200"/>
    </w:pPr>
    <w:rPr>
      <w:rFonts w:ascii="Calibri" w:hAnsi="Calibri"/>
      <w:szCs w:val="22"/>
    </w:rPr>
  </w:style>
  <w:style w:type="character" w:customStyle="1" w:styleId="13">
    <w:name w:val="font51"/>
    <w:basedOn w:val="9"/>
    <w:qFormat/>
    <w:uiPriority w:val="0"/>
    <w:rPr>
      <w:rFonts w:hint="default" w:ascii="仿宋_GB2312" w:eastAsia="仿宋_GB2312" w:cs="仿宋_GB2312"/>
      <w:color w:val="000000"/>
      <w:sz w:val="24"/>
      <w:szCs w:val="24"/>
      <w:u w:val="single"/>
    </w:rPr>
  </w:style>
  <w:style w:type="character" w:customStyle="1" w:styleId="14">
    <w:name w:val="font31"/>
    <w:basedOn w:val="9"/>
    <w:qFormat/>
    <w:uiPriority w:val="0"/>
    <w:rPr>
      <w:rFonts w:hint="default" w:ascii="仿宋_GB2312" w:eastAsia="仿宋_GB2312" w:cs="仿宋_GB2312"/>
      <w:color w:val="000000"/>
      <w:sz w:val="24"/>
      <w:szCs w:val="24"/>
      <w:u w:val="none"/>
    </w:rPr>
  </w:style>
  <w:style w:type="character" w:customStyle="1" w:styleId="15">
    <w:name w:val="页眉 字符"/>
    <w:basedOn w:val="9"/>
    <w:link w:val="5"/>
    <w:qFormat/>
    <w:uiPriority w:val="0"/>
    <w:rPr>
      <w:rFonts w:cs="宋体" w:asciiTheme="minorHAnsi" w:hAnsiTheme="minorHAnsi" w:eastAsiaTheme="minorEastAsia"/>
      <w:b/>
      <w:bCs/>
      <w:color w:val="000000" w:themeColor="text1"/>
      <w:kern w:val="28"/>
      <w:sz w:val="18"/>
      <w:szCs w:val="18"/>
      <w14:textFill>
        <w14:solidFill>
          <w14:schemeClr w14:val="tx1"/>
        </w14:solidFill>
      </w14:textFill>
    </w:rPr>
  </w:style>
  <w:style w:type="character" w:customStyle="1" w:styleId="16">
    <w:name w:val="页脚 字符"/>
    <w:basedOn w:val="9"/>
    <w:link w:val="4"/>
    <w:qFormat/>
    <w:uiPriority w:val="0"/>
    <w:rPr>
      <w:rFonts w:cs="宋体" w:asciiTheme="minorHAnsi" w:hAnsiTheme="minorHAnsi" w:eastAsiaTheme="minorEastAsia"/>
      <w:b/>
      <w:bCs/>
      <w:color w:val="000000" w:themeColor="text1"/>
      <w:kern w:val="28"/>
      <w:sz w:val="18"/>
      <w:szCs w:val="18"/>
      <w14:textFill>
        <w14:solidFill>
          <w14:schemeClr w14:val="tx1"/>
        </w14:solidFill>
      </w14:textFill>
    </w:rPr>
  </w:style>
  <w:style w:type="paragraph" w:customStyle="1" w:styleId="17">
    <w:name w:val="null3"/>
    <w:qFormat/>
    <w:uiPriority w:val="0"/>
    <w:rPr>
      <w:rFonts w:hint="eastAsia" w:ascii="Calibri" w:hAnsi="Calibri" w:eastAsia="宋体" w:cs="宋体"/>
      <w:lang w:val="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893</Words>
  <Characters>988</Characters>
  <Lines>3</Lines>
  <Paragraphs>1</Paragraphs>
  <TotalTime>0</TotalTime>
  <ScaleCrop>false</ScaleCrop>
  <LinksUpToDate>false</LinksUpToDate>
  <CharactersWithSpaces>1037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2025-11-19T08:56:00Z</dcterms:created>
  <dc:creator>开心开心</dc:creator>
  <cp:lastModifiedBy>MisaKi</cp:lastModifiedBy>
  <cp:lastPrinted>2026-08-12T03:34:00Z</cp:lastPrinted>
  <dcterms:modified xsi:type="dcterms:W3CDTF">2026-08-14T17:12:28Z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C7E16C8F9BE746B3A5301F95FAC5E34D_13</vt:lpwstr>
  </property>
  <property fmtid="{D5CDD505-2E9C-101B-9397-08002B2CF9AE}" pid="4" name="KSOTemplateDocerSaveRecord">
    <vt:lpwstr>eyJoZGlkIjoiYmE1MjQzYzAwYzAyZDU0ZGM1ODg2MmUxNTJjYzM4MjMiLCJ1c2VySWQiOiI2MzgwOTU3MzAifQ==</vt:lpwstr>
  </property>
</Properties>
</file>