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eastAsia="宋体"/>
          <w:b/>
          <w:sz w:val="28"/>
          <w:szCs w:val="28"/>
        </w:rPr>
      </w:pPr>
      <w:r>
        <w:rPr>
          <w:rFonts w:hint="eastAsia" w:ascii="宋体" w:hAnsi="宋体" w:eastAsia="宋体" w:cs="宋体"/>
          <w:b/>
          <w:bCs w:val="0"/>
          <w:sz w:val="28"/>
          <w:szCs w:val="28"/>
        </w:rPr>
        <w:t>采购需求参数（</w:t>
      </w:r>
      <w:r>
        <w:rPr>
          <w:rFonts w:hint="eastAsia" w:ascii="宋体" w:hAnsi="宋体" w:eastAsia="宋体" w:cs="宋体"/>
          <w:b/>
          <w:bCs w:val="0"/>
          <w:kern w:val="2"/>
          <w:sz w:val="28"/>
          <w:szCs w:val="28"/>
          <w:lang w:val="en-US" w:eastAsia="zh-CN"/>
        </w:rPr>
        <w:t>射频消融治疗仪</w:t>
      </w:r>
      <w:r>
        <w:rPr>
          <w:rFonts w:hint="eastAsia" w:ascii="宋体" w:hAnsi="宋体" w:eastAsia="宋体" w:cs="宋体"/>
          <w:b/>
          <w:bCs w:val="0"/>
          <w:sz w:val="28"/>
          <w:szCs w:val="28"/>
        </w:rPr>
        <w:t>）</w:t>
      </w:r>
    </w:p>
    <w:tbl>
      <w:tblPr>
        <w:tblStyle w:val="7"/>
        <w:tblW w:w="9300" w:type="dxa"/>
        <w:jc w:val="center"/>
        <w:tblInd w:w="0"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
      <w:tblGrid>
        <w:gridCol w:w="852"/>
        <w:gridCol w:w="1433"/>
        <w:gridCol w:w="873"/>
        <w:gridCol w:w="1417"/>
        <w:gridCol w:w="4725"/>
      </w:tblGrid>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1013" w:hRule="atLeast"/>
          <w:jc w:val="center"/>
        </w:trPr>
        <w:tc>
          <w:tcPr>
            <w:tcW w:w="852" w:type="dxa"/>
            <w:tcBorders>
              <w:top w:val="single" w:color="000000" w:sz="6" w:space="0"/>
              <w:left w:val="single" w:color="000000" w:sz="6" w:space="0"/>
              <w:bottom w:val="single" w:color="auto" w:sz="4" w:space="0"/>
              <w:right w:val="single" w:color="000000" w:sz="6" w:space="0"/>
            </w:tcBorders>
            <w:tcMar>
              <w:top w:w="0" w:type="dxa"/>
              <w:left w:w="105" w:type="dxa"/>
              <w:bottom w:w="0" w:type="dxa"/>
              <w:right w:w="105" w:type="dxa"/>
            </w:tcMar>
            <w:vAlign w:val="center"/>
          </w:tcPr>
          <w:p>
            <w:pPr>
              <w:pStyle w:val="4"/>
              <w:widowControl/>
              <w:spacing w:before="0" w:beforeAutospacing="0" w:after="0" w:afterAutospacing="0" w:line="360" w:lineRule="atLeast"/>
              <w:jc w:val="center"/>
              <w:rPr>
                <w:rFonts w:ascii="Microsoft YaHei UI" w:hAnsi="Microsoft YaHei UI" w:eastAsia="Microsoft YaHei UI" w:cs="Microsoft YaHei UI"/>
                <w:sz w:val="24"/>
                <w:szCs w:val="24"/>
              </w:rPr>
            </w:pPr>
            <w:r>
              <w:rPr>
                <w:rStyle w:val="6"/>
                <w:rFonts w:hint="eastAsia" w:ascii="Microsoft YaHei UI" w:hAnsi="Microsoft YaHei UI" w:eastAsia="Microsoft YaHei UI" w:cs="Microsoft YaHei UI"/>
                <w:bCs/>
                <w:sz w:val="24"/>
                <w:szCs w:val="24"/>
              </w:rPr>
              <w:t>序号</w:t>
            </w:r>
          </w:p>
        </w:tc>
        <w:tc>
          <w:tcPr>
            <w:tcW w:w="1433" w:type="dxa"/>
            <w:tcBorders>
              <w:top w:val="single" w:color="000000" w:sz="6" w:space="0"/>
              <w:left w:val="nil"/>
              <w:bottom w:val="single" w:color="auto" w:sz="4" w:space="0"/>
              <w:right w:val="single" w:color="000000" w:sz="6" w:space="0"/>
            </w:tcBorders>
            <w:tcMar>
              <w:top w:w="0" w:type="dxa"/>
              <w:left w:w="105" w:type="dxa"/>
              <w:bottom w:w="0" w:type="dxa"/>
              <w:right w:w="105" w:type="dxa"/>
            </w:tcMar>
            <w:vAlign w:val="center"/>
          </w:tcPr>
          <w:p>
            <w:pPr>
              <w:pStyle w:val="4"/>
              <w:widowControl/>
              <w:spacing w:before="0" w:beforeAutospacing="0" w:after="0" w:afterAutospacing="0" w:line="360" w:lineRule="atLeast"/>
              <w:jc w:val="center"/>
              <w:rPr>
                <w:rFonts w:hint="eastAsia" w:ascii="Microsoft YaHei UI" w:hAnsi="Microsoft YaHei UI" w:eastAsia="Microsoft YaHei UI" w:cs="Microsoft YaHei UI"/>
                <w:sz w:val="24"/>
                <w:szCs w:val="24"/>
              </w:rPr>
            </w:pPr>
            <w:r>
              <w:rPr>
                <w:rStyle w:val="6"/>
                <w:rFonts w:hint="eastAsia" w:ascii="Microsoft YaHei UI" w:hAnsi="Microsoft YaHei UI" w:eastAsia="Microsoft YaHei UI" w:cs="Microsoft YaHei UI"/>
                <w:bCs/>
                <w:sz w:val="24"/>
                <w:szCs w:val="24"/>
              </w:rPr>
              <w:t>设备名称</w:t>
            </w:r>
          </w:p>
        </w:tc>
        <w:tc>
          <w:tcPr>
            <w:tcW w:w="873" w:type="dxa"/>
            <w:tcBorders>
              <w:top w:val="single" w:color="000000" w:sz="6" w:space="0"/>
              <w:left w:val="nil"/>
              <w:bottom w:val="single" w:color="auto" w:sz="4" w:space="0"/>
              <w:right w:val="single" w:color="000000" w:sz="6" w:space="0"/>
            </w:tcBorders>
            <w:tcMar>
              <w:top w:w="0" w:type="dxa"/>
              <w:left w:w="105" w:type="dxa"/>
              <w:bottom w:w="0" w:type="dxa"/>
              <w:right w:w="105" w:type="dxa"/>
            </w:tcMar>
            <w:vAlign w:val="center"/>
          </w:tcPr>
          <w:p>
            <w:pPr>
              <w:pStyle w:val="4"/>
              <w:widowControl/>
              <w:spacing w:before="0" w:beforeAutospacing="0" w:after="0" w:afterAutospacing="0" w:line="360" w:lineRule="atLeast"/>
              <w:jc w:val="center"/>
              <w:rPr>
                <w:rFonts w:hint="eastAsia" w:ascii="Microsoft YaHei UI" w:hAnsi="Microsoft YaHei UI" w:eastAsia="Microsoft YaHei UI" w:cs="Microsoft YaHei UI"/>
                <w:sz w:val="24"/>
                <w:szCs w:val="24"/>
              </w:rPr>
            </w:pPr>
            <w:r>
              <w:rPr>
                <w:rStyle w:val="6"/>
                <w:rFonts w:hint="eastAsia" w:ascii="Microsoft YaHei UI" w:hAnsi="Microsoft YaHei UI" w:eastAsia="Microsoft YaHei UI" w:cs="Microsoft YaHei UI"/>
                <w:bCs/>
                <w:sz w:val="24"/>
                <w:szCs w:val="24"/>
              </w:rPr>
              <w:t>数量</w:t>
            </w:r>
          </w:p>
        </w:tc>
        <w:tc>
          <w:tcPr>
            <w:tcW w:w="1417" w:type="dxa"/>
            <w:tcBorders>
              <w:top w:val="single" w:color="000000" w:sz="6" w:space="0"/>
              <w:left w:val="nil"/>
              <w:bottom w:val="single" w:color="auto" w:sz="4" w:space="0"/>
              <w:right w:val="single" w:color="000000" w:sz="6" w:space="0"/>
            </w:tcBorders>
            <w:tcMar>
              <w:top w:w="0" w:type="dxa"/>
              <w:left w:w="105" w:type="dxa"/>
              <w:bottom w:w="0" w:type="dxa"/>
              <w:right w:w="105" w:type="dxa"/>
            </w:tcMar>
            <w:vAlign w:val="center"/>
          </w:tcPr>
          <w:p>
            <w:pPr>
              <w:pStyle w:val="4"/>
              <w:widowControl/>
              <w:spacing w:before="0" w:beforeAutospacing="0" w:after="0" w:afterAutospacing="0" w:line="360" w:lineRule="atLeast"/>
              <w:jc w:val="center"/>
              <w:rPr>
                <w:rFonts w:hint="eastAsia" w:ascii="Microsoft YaHei UI" w:hAnsi="Microsoft YaHei UI" w:eastAsia="Microsoft YaHei UI" w:cs="Microsoft YaHei UI"/>
                <w:sz w:val="24"/>
                <w:szCs w:val="24"/>
              </w:rPr>
            </w:pPr>
            <w:r>
              <w:rPr>
                <w:rStyle w:val="6"/>
                <w:rFonts w:hint="eastAsia" w:ascii="Microsoft YaHei UI" w:hAnsi="Microsoft YaHei UI" w:eastAsia="Microsoft YaHei UI" w:cs="Microsoft YaHei UI"/>
                <w:bCs/>
                <w:sz w:val="24"/>
                <w:szCs w:val="24"/>
              </w:rPr>
              <w:t>限价（万元）</w:t>
            </w:r>
          </w:p>
        </w:tc>
        <w:tc>
          <w:tcPr>
            <w:tcW w:w="4725" w:type="dxa"/>
            <w:tcBorders>
              <w:top w:val="single" w:color="000000" w:sz="6" w:space="0"/>
              <w:left w:val="nil"/>
              <w:bottom w:val="single" w:color="auto" w:sz="4" w:space="0"/>
              <w:right w:val="single" w:color="000000" w:sz="6" w:space="0"/>
            </w:tcBorders>
            <w:tcMar>
              <w:top w:w="0" w:type="dxa"/>
              <w:left w:w="105" w:type="dxa"/>
              <w:bottom w:w="0" w:type="dxa"/>
              <w:right w:w="105" w:type="dxa"/>
            </w:tcMar>
            <w:vAlign w:val="center"/>
          </w:tcPr>
          <w:p>
            <w:pPr>
              <w:pStyle w:val="4"/>
              <w:widowControl/>
              <w:spacing w:before="0" w:beforeAutospacing="0" w:after="0" w:afterAutospacing="0" w:line="360" w:lineRule="atLeast"/>
              <w:jc w:val="center"/>
              <w:rPr>
                <w:rFonts w:hint="eastAsia" w:ascii="Microsoft YaHei UI" w:hAnsi="Microsoft YaHei UI" w:eastAsia="Microsoft YaHei UI" w:cs="Microsoft YaHei UI"/>
                <w:sz w:val="24"/>
                <w:szCs w:val="24"/>
              </w:rPr>
            </w:pPr>
            <w:r>
              <w:rPr>
                <w:rStyle w:val="6"/>
                <w:rFonts w:hint="eastAsia" w:ascii="Microsoft YaHei UI" w:hAnsi="Microsoft YaHei UI" w:eastAsia="Microsoft YaHei UI" w:cs="Microsoft YaHei UI"/>
                <w:bCs/>
                <w:sz w:val="24"/>
                <w:szCs w:val="24"/>
              </w:rPr>
              <w:t>主要技术要求</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1655" w:hRule="atLeast"/>
          <w:jc w:val="center"/>
        </w:trPr>
        <w:tc>
          <w:tcPr>
            <w:tcW w:w="852"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pPr>
              <w:pStyle w:val="4"/>
              <w:widowControl/>
              <w:spacing w:before="0" w:beforeAutospacing="0" w:after="0" w:afterAutospacing="0" w:line="360" w:lineRule="atLeast"/>
              <w:jc w:val="center"/>
              <w:rPr>
                <w:rFonts w:hint="eastAsia" w:ascii="宋体" w:hAnsi="宋体" w:eastAsia="宋体" w:cs="宋体"/>
              </w:rPr>
            </w:pPr>
            <w:r>
              <w:rPr>
                <w:rFonts w:hint="eastAsia" w:ascii="宋体" w:hAnsi="宋体" w:eastAsia="宋体" w:cs="宋体"/>
              </w:rPr>
              <w:t>1</w:t>
            </w:r>
          </w:p>
        </w:tc>
        <w:tc>
          <w:tcPr>
            <w:tcW w:w="1433"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pPr>
              <w:pStyle w:val="4"/>
              <w:widowControl/>
              <w:spacing w:before="0" w:beforeAutospacing="0" w:after="0" w:afterAutospacing="0" w:line="360" w:lineRule="atLeast"/>
              <w:jc w:val="center"/>
              <w:rPr>
                <w:rFonts w:hint="eastAsia" w:ascii="宋体" w:hAnsi="宋体" w:eastAsia="宋体" w:cs="宋体"/>
                <w:kern w:val="2"/>
                <w:lang w:val="en-US" w:eastAsia="zh-CN"/>
              </w:rPr>
            </w:pPr>
            <w:r>
              <w:rPr>
                <w:rFonts w:hint="eastAsia" w:ascii="宋体" w:hAnsi="宋体" w:eastAsia="宋体" w:cs="宋体"/>
                <w:kern w:val="2"/>
                <w:lang w:val="en-US" w:eastAsia="zh-CN"/>
              </w:rPr>
              <w:t>射频消融治疗仪</w:t>
            </w:r>
          </w:p>
        </w:tc>
        <w:tc>
          <w:tcPr>
            <w:tcW w:w="873"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pPr>
              <w:pStyle w:val="4"/>
              <w:widowControl/>
              <w:spacing w:before="0" w:beforeAutospacing="0" w:after="0" w:afterAutospacing="0" w:line="360" w:lineRule="atLeast"/>
              <w:jc w:val="center"/>
              <w:rPr>
                <w:rFonts w:hint="eastAsia" w:ascii="宋体" w:hAnsi="宋体" w:eastAsia="宋体" w:cs="宋体"/>
                <w:kern w:val="2"/>
              </w:rPr>
            </w:pPr>
            <w:r>
              <w:rPr>
                <w:rFonts w:hint="eastAsia" w:ascii="宋体" w:hAnsi="宋体" w:eastAsia="宋体" w:cs="宋体"/>
                <w:kern w:val="2"/>
              </w:rPr>
              <w:t>1套</w:t>
            </w:r>
          </w:p>
        </w:tc>
        <w:tc>
          <w:tcPr>
            <w:tcW w:w="1417"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pPr>
              <w:pStyle w:val="4"/>
              <w:widowControl/>
              <w:spacing w:before="0" w:beforeAutospacing="0" w:after="0" w:afterAutospacing="0" w:line="360" w:lineRule="atLeast"/>
              <w:jc w:val="center"/>
              <w:rPr>
                <w:rFonts w:hint="eastAsia" w:ascii="宋体" w:hAnsi="宋体" w:eastAsia="宋体" w:cs="宋体"/>
                <w:kern w:val="2"/>
                <w:lang w:val="en-US" w:eastAsia="zh-CN"/>
              </w:rPr>
            </w:pPr>
            <w:r>
              <w:rPr>
                <w:rFonts w:hint="eastAsia" w:ascii="宋体" w:hAnsi="宋体" w:eastAsia="宋体" w:cs="宋体"/>
                <w:kern w:val="2"/>
                <w:lang w:val="en-US" w:eastAsia="zh-CN"/>
              </w:rPr>
              <w:t>50</w:t>
            </w:r>
          </w:p>
        </w:tc>
        <w:tc>
          <w:tcPr>
            <w:tcW w:w="4725"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pPr>
              <w:spacing w:line="240" w:lineRule="auto"/>
              <w:ind w:left="480" w:hanging="480" w:hangingChars="200"/>
              <w:jc w:val="left"/>
              <w:rPr>
                <w:rFonts w:hint="eastAsia" w:ascii="宋体" w:hAnsi="宋体" w:eastAsia="宋体" w:cs="宋体"/>
                <w:color w:val="000000"/>
                <w:kern w:val="0"/>
                <w:sz w:val="24"/>
              </w:rPr>
            </w:pPr>
            <w:r>
              <w:rPr>
                <w:rFonts w:hint="eastAsia" w:ascii="宋体" w:hAnsi="宋体" w:eastAsia="宋体" w:cs="宋体"/>
                <w:color w:val="000000"/>
                <w:kern w:val="0"/>
                <w:sz w:val="24"/>
              </w:rPr>
              <w:t>1、用于疼痛治疗的射频毁损手术或者用于功能神经外科手术的神经组织毁损，适应症包括但不限于三叉神经痛、膝关节痛、癌痛和腰交感神经等疼痛疾病的治疗。</w:t>
            </w:r>
          </w:p>
          <w:p>
            <w:pPr>
              <w:spacing w:line="240" w:lineRule="auto"/>
              <w:ind w:left="480" w:hanging="480" w:hangingChars="200"/>
              <w:jc w:val="left"/>
              <w:rPr>
                <w:rFonts w:hint="eastAsia" w:ascii="宋体" w:hAnsi="宋体" w:eastAsia="宋体" w:cs="宋体"/>
                <w:color w:val="000000"/>
                <w:kern w:val="0"/>
                <w:sz w:val="24"/>
              </w:rPr>
            </w:pPr>
            <w:r>
              <w:rPr>
                <w:rFonts w:hint="eastAsia" w:ascii="宋体" w:hAnsi="宋体" w:eastAsia="宋体" w:cs="宋体"/>
                <w:color w:val="000000"/>
                <w:kern w:val="0"/>
                <w:sz w:val="24"/>
              </w:rPr>
              <w:t>2、基本功能：具备实时阻抗显示、感觉刺激模式、运动刺激模式；同时具有电流刺激模式、电压刺激模式。</w:t>
            </w:r>
          </w:p>
          <w:p>
            <w:pPr>
              <w:spacing w:line="240" w:lineRule="auto"/>
              <w:ind w:left="480" w:hanging="480" w:hangingChars="200"/>
              <w:jc w:val="left"/>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3</w:t>
            </w:r>
            <w:r>
              <w:rPr>
                <w:rFonts w:hint="eastAsia" w:ascii="宋体" w:hAnsi="宋体" w:eastAsia="宋体" w:cs="宋体"/>
                <w:color w:val="000000"/>
                <w:kern w:val="0"/>
                <w:sz w:val="24"/>
              </w:rPr>
              <w:t>、射频治疗模式：具有脉冲射频模式和连续射频模式。脉冲射频模式具备电压变化自动调节模式和脉宽变化自动调节模式，此模式下，在靶点到达治疗温度后，可智能调节输出，保持治疗温度在指定温度。连续射频模式：具备递增升温、阶梯升温两种模式。射频治疗模式：能量发放可以从温度、电压、脉宽、频率、时间上来进行调节。</w:t>
            </w:r>
          </w:p>
          <w:p>
            <w:pPr>
              <w:pStyle w:val="4"/>
              <w:spacing w:line="360" w:lineRule="auto"/>
              <w:rPr>
                <w:rFonts w:hint="eastAsia" w:ascii="宋体" w:hAnsi="宋体" w:eastAsia="宋体" w:cs="宋体"/>
              </w:rPr>
            </w:pPr>
          </w:p>
        </w:tc>
      </w:tr>
    </w:tbl>
    <w:p>
      <w:pPr>
        <w:jc w:val="center"/>
        <w:rPr>
          <w:rFonts w:hint="eastAsia" w:ascii="宋体" w:hAnsi="宋体" w:eastAsia="宋体"/>
          <w:b/>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2480"/>
    <w:rsid w:val="00105282"/>
    <w:rsid w:val="00124EAA"/>
    <w:rsid w:val="00630871"/>
    <w:rsid w:val="008B2480"/>
    <w:rsid w:val="029C3B08"/>
    <w:rsid w:val="072874C6"/>
    <w:rsid w:val="0C1110C3"/>
    <w:rsid w:val="108654B0"/>
    <w:rsid w:val="15023C9F"/>
    <w:rsid w:val="1C424981"/>
    <w:rsid w:val="1F134CFA"/>
    <w:rsid w:val="24C148B0"/>
    <w:rsid w:val="2B013C59"/>
    <w:rsid w:val="30AF1025"/>
    <w:rsid w:val="38564DA4"/>
    <w:rsid w:val="3FFD00D9"/>
    <w:rsid w:val="478B4B7E"/>
    <w:rsid w:val="50577CF3"/>
    <w:rsid w:val="5F0A7EAA"/>
    <w:rsid w:val="62CF7BBD"/>
    <w:rsid w:val="698C2CAC"/>
    <w:rsid w:val="700370F8"/>
    <w:rsid w:val="733F6699"/>
    <w:rsid w:val="756061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qFormat/>
    <w:uiPriority w:val="0"/>
    <w:pPr>
      <w:spacing w:before="100" w:beforeAutospacing="1" w:after="100" w:afterAutospacing="1"/>
      <w:jc w:val="left"/>
    </w:pPr>
    <w:rPr>
      <w:rFonts w:ascii="Calibri" w:hAnsi="Calibri" w:eastAsia="宋体" w:cs="Times New Roman"/>
      <w:kern w:val="0"/>
      <w:sz w:val="24"/>
      <w:szCs w:val="24"/>
    </w:rPr>
  </w:style>
  <w:style w:type="character" w:styleId="6">
    <w:name w:val="Strong"/>
    <w:qFormat/>
    <w:uiPriority w:val="0"/>
    <w:rPr>
      <w:b/>
    </w:rPr>
  </w:style>
  <w:style w:type="character" w:customStyle="1" w:styleId="8">
    <w:name w:val="页眉 字符"/>
    <w:basedOn w:val="5"/>
    <w:link w:val="3"/>
    <w:qFormat/>
    <w:uiPriority w:val="99"/>
    <w:rPr>
      <w:sz w:val="18"/>
      <w:szCs w:val="18"/>
    </w:rPr>
  </w:style>
  <w:style w:type="character" w:customStyle="1" w:styleId="9">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Pages>
  <Words>82</Words>
  <Characters>98</Characters>
  <Lines>1</Lines>
  <Paragraphs>1</Paragraphs>
  <TotalTime>0</TotalTime>
  <ScaleCrop>false</ScaleCrop>
  <LinksUpToDate>false</LinksUpToDate>
  <CharactersWithSpaces>98</CharactersWithSpaces>
  <Application>WPS Office_10.8.2.6870_F1E327BC-269C-435d-A152-05C5408002CA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2025-10-27T08:34:00Z</dcterms:created>
  <dc:creator>Administrator</dc:creator>
  <cp:lastModifiedBy>user</cp:lastModifiedBy>
  <dcterms:modified xsi:type="dcterms:W3CDTF">2026-10-29T01:22:51Z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eyJoZGlkIjoiODFlNzhjZjE2Y2Y3MzJjZmNlZmY4ZjllNGFhNzkwZjkiLCJ1c2VySWQiOiI5ODkwODk0MTMifQ==</vt:lpwstr>
  </property>
  <property fmtid="{D5CDD505-2E9C-101B-9397-08002B2CF9AE}" pid="3" name="KSOProductBuildVer">
    <vt:lpwstr>2052-10.8.2.6870</vt:lpwstr>
  </property>
  <property fmtid="{D5CDD505-2E9C-101B-9397-08002B2CF9AE}" pid="4" name="ICV">
    <vt:lpwstr>4365FECD3ECB4D3A80DCAC9CDC562B44_12</vt:lpwstr>
  </property>
</Properties>
</file>