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Hans"/>
        </w:rPr>
      </w:pPr>
      <w:r>
        <w:br w:type="textWrapping"/>
      </w:r>
    </w:p>
    <w:p>
      <w:pPr>
        <w:pStyle w:val="10"/>
      </w:pPr>
    </w:p>
    <w:p>
      <w:pPr>
        <w:pStyle w:val="10"/>
      </w:pPr>
    </w:p>
    <w:p>
      <w:pPr>
        <w:pStyle w:val="10"/>
        <w:jc w:val="center"/>
        <w:outlineLvl w:val="0"/>
      </w:pPr>
      <w:r>
        <w:rPr>
          <w:b/>
          <w:sz w:val="48"/>
        </w:rPr>
        <w:t>福建省政府采购</w:t>
      </w:r>
    </w:p>
    <w:p>
      <w:pPr>
        <w:pStyle w:val="10"/>
        <w:jc w:val="center"/>
        <w:outlineLvl w:val="0"/>
      </w:pPr>
      <w:r>
        <w:rPr>
          <w:b/>
          <w:sz w:val="48"/>
        </w:rPr>
        <w:t>货物和服务项目</w:t>
      </w:r>
    </w:p>
    <w:p>
      <w:pPr>
        <w:pStyle w:val="10"/>
        <w:jc w:val="center"/>
        <w:outlineLvl w:val="0"/>
        <w:rPr>
          <w:rFonts w:hint="eastAsia" w:eastAsiaTheme="minorEastAsia"/>
          <w:b/>
          <w:sz w:val="48"/>
          <w:lang w:eastAsia="zh-CN"/>
        </w:rPr>
      </w:pPr>
      <w:r>
        <w:rPr>
          <w:b/>
          <w:sz w:val="48"/>
        </w:rPr>
        <w:t>公开招标文件</w:t>
      </w:r>
      <w:bookmarkStart w:id="0" w:name="_GoBack"/>
      <w:bookmarkEnd w:id="0"/>
    </w:p>
    <w:p>
      <w:pPr>
        <w:pStyle w:val="10"/>
        <w:jc w:val="center"/>
        <w:outlineLvl w:val="0"/>
        <w:rPr>
          <w:b/>
          <w:sz w:val="48"/>
        </w:rPr>
      </w:pPr>
    </w:p>
    <w:p>
      <w:pPr>
        <w:pStyle w:val="10"/>
        <w:jc w:val="center"/>
        <w:outlineLvl w:val="0"/>
        <w:rPr>
          <w:b/>
          <w:sz w:val="48"/>
        </w:rPr>
      </w:pPr>
    </w:p>
    <w:p>
      <w:pPr>
        <w:pStyle w:val="10"/>
        <w:jc w:val="center"/>
        <w:outlineLvl w:val="0"/>
        <w:rPr>
          <w:b/>
          <w:sz w:val="48"/>
        </w:rPr>
      </w:pPr>
    </w:p>
    <w:p>
      <w:pPr>
        <w:pStyle w:val="10"/>
        <w:jc w:val="center"/>
        <w:outlineLvl w:val="0"/>
        <w:rPr>
          <w:b/>
          <w:sz w:val="48"/>
        </w:rPr>
      </w:pPr>
    </w:p>
    <w:p>
      <w:pPr>
        <w:pStyle w:val="10"/>
        <w:jc w:val="center"/>
        <w:outlineLvl w:val="0"/>
        <w:rPr>
          <w:b/>
          <w:sz w:val="48"/>
        </w:rPr>
      </w:pPr>
    </w:p>
    <w:p>
      <w:pPr>
        <w:pStyle w:val="10"/>
        <w:jc w:val="center"/>
        <w:outlineLvl w:val="0"/>
        <w:rPr>
          <w:b/>
          <w:sz w:val="48"/>
        </w:rPr>
      </w:pPr>
    </w:p>
    <w:p>
      <w:pPr>
        <w:pStyle w:val="10"/>
        <w:jc w:val="center"/>
        <w:outlineLvl w:val="2"/>
      </w:pPr>
      <w:r>
        <w:rPr>
          <w:b/>
          <w:sz w:val="28"/>
        </w:rPr>
        <w:t>项目名称：彩色多普勒超声诊断系统项目一</w:t>
      </w:r>
    </w:p>
    <w:p>
      <w:pPr>
        <w:pStyle w:val="10"/>
        <w:jc w:val="center"/>
        <w:outlineLvl w:val="2"/>
      </w:pPr>
      <w:r>
        <w:rPr>
          <w:b/>
          <w:sz w:val="28"/>
        </w:rPr>
        <w:t>备案编号：CGXM-2023-350001-13027[2023]09316</w:t>
      </w:r>
    </w:p>
    <w:p>
      <w:pPr>
        <w:pStyle w:val="10"/>
        <w:jc w:val="center"/>
        <w:outlineLvl w:val="2"/>
        <w:rPr>
          <w:b/>
          <w:sz w:val="28"/>
        </w:rPr>
      </w:pPr>
      <w:r>
        <w:rPr>
          <w:b/>
          <w:sz w:val="28"/>
        </w:rPr>
        <w:t>项目编号：[350001]ZDZB[GK]2023042</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采购人：福建医科大学附属第一医院</w:t>
      </w:r>
    </w:p>
    <w:p>
      <w:pPr>
        <w:pStyle w:val="10"/>
        <w:jc w:val="center"/>
        <w:outlineLvl w:val="2"/>
      </w:pPr>
      <w:r>
        <w:rPr>
          <w:b/>
          <w:sz w:val="28"/>
        </w:rPr>
        <w:t>代理机构：福建省中达招标代理有限公司</w:t>
      </w:r>
    </w:p>
    <w:p>
      <w:pPr>
        <w:pStyle w:val="10"/>
        <w:jc w:val="center"/>
        <w:outlineLvl w:val="2"/>
      </w:pPr>
      <w:r>
        <w:rPr>
          <w:b/>
          <w:sz w:val="28"/>
        </w:rPr>
        <w:t>编制时间：2023年</w:t>
      </w:r>
      <w:r>
        <w:rPr>
          <w:rFonts w:hint="eastAsia"/>
          <w:b/>
          <w:sz w:val="28"/>
          <w:lang w:val="en-US" w:eastAsia="zh-CN"/>
        </w:rPr>
        <w:t>10</w:t>
      </w:r>
      <w:r>
        <w:rPr>
          <w:b/>
          <w:sz w:val="28"/>
        </w:rPr>
        <w:t>月</w:t>
      </w:r>
    </w:p>
    <w:p>
      <w:pPr>
        <w:pStyle w:val="10"/>
      </w:pPr>
    </w:p>
    <w:p>
      <w:pPr>
        <w:pStyle w:val="10"/>
      </w:pPr>
      <w:r>
        <w:t xml:space="preserve"> </w:t>
      </w:r>
    </w:p>
    <w:p>
      <w:pPr>
        <w:pStyle w:val="10"/>
        <w:jc w:val="center"/>
        <w:outlineLvl w:val="1"/>
        <w:rPr>
          <w:b/>
          <w:sz w:val="36"/>
        </w:rPr>
      </w:pPr>
    </w:p>
    <w:p>
      <w:pPr>
        <w:pStyle w:val="10"/>
        <w:jc w:val="center"/>
        <w:outlineLvl w:val="1"/>
        <w:rPr>
          <w:b/>
          <w:sz w:val="36"/>
        </w:rPr>
      </w:pP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第一章 投标邀请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福建省中达招标代理有限公司采用公开招标方式组织彩色多普勒超声诊断系统项目一（以下简称：“本项目”）的政府采购活动，现邀请供应商参加投标。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b/>
          <w:sz w:val="24"/>
          <w:szCs w:val="24"/>
        </w:rPr>
        <w:t>1、备案编号：CGXM-2023-350001-13027[2023]09316</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b/>
          <w:sz w:val="24"/>
          <w:szCs w:val="24"/>
        </w:rPr>
        <w:t>2、项目编号：[350001]ZDZB[GK]2023042</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3、预算金额、最高限价：详见《采购标的一览表》。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b/>
          <w:sz w:val="24"/>
          <w:szCs w:val="24"/>
        </w:rPr>
        <w:t>4、招标内容及要求：详见《采购标的一览表》及招标文件第五章。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b/>
          <w:sz w:val="24"/>
          <w:szCs w:val="24"/>
        </w:rPr>
      </w:pPr>
      <w:r>
        <w:rPr>
          <w:b/>
          <w:sz w:val="24"/>
          <w:szCs w:val="24"/>
        </w:rPr>
        <w:t>5、需要落实的政府采购政策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进口产品：按照《政府采购进口产品管理办法》等规定执行，是否 允许进口产品参加投标详见《采购标的一览表》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节能产品：按照《关于调整优化节能产品、环境标志产品政府采购执行机制的通知》财库〔2019〕9号等规定执行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环境标志产品：按照《市场监管总局关于发布参与实施政府采购节能产品、环境标志产品认证机构名录的公告》（2019年第16号）等规定执行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促进中小企业发展的相关政策：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采购包1：不专门面向中小企业采购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6、投标人的资格要求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6.1法定条件：符合政府采购法第二十二条第一款规定的条件。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6.2特定条件</w:t>
      </w:r>
      <w:r>
        <w:rPr>
          <w:rFonts w:hint="eastAsia"/>
          <w:sz w:val="24"/>
          <w:szCs w:val="24"/>
          <w:lang w:eastAsia="zh-CN"/>
        </w:rPr>
        <w:t>：</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24"/>
        <w:gridCol w:w="70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2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资格审查要求概况</w:t>
            </w:r>
          </w:p>
        </w:tc>
        <w:tc>
          <w:tcPr>
            <w:tcW w:w="7050"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采购人提出特定条件的证明材料1</w:t>
            </w:r>
          </w:p>
        </w:tc>
        <w:tc>
          <w:tcPr>
            <w:tcW w:w="7050"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投货物若属于医疗器械管理范畴，按照国家《医疗器械监督管理条例》，应符合以下标准：①投标人为制造商的，须提供医疗器械生产许可证书(进口产品除外)；投标人为经销商的，投标货物属于三类医疗器械的，须提供医疗器械经营许可证书，投标货物属于二类医疗器械的，也可提供二类医疗器械的经营备案凭证（若有附件也应提供），投标货物属于一类医疗器械的，则无须提供此项。②投标货物属于第二类、第三类医疗器械产品应取得医疗器械注册证且在有效期内（若有附件也应提供）。（投标人提交的技术商务卷《标的说明一览表》中注明的产品规格型号应与注册证书上注明的产品规格型号保持一致）</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sz w:val="24"/>
          <w:szCs w:val="24"/>
        </w:rPr>
      </w:pPr>
      <w:r>
        <w:rPr>
          <w:sz w:val="24"/>
          <w:szCs w:val="24"/>
        </w:rPr>
        <w:t>6.3是否接受联合体投标：采购包1：不接受</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※根据上述资格要求，电子投标文件中应提交的“投标人的资格及资信证明文件”详见招标文件第四章。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7、招标文件的获取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7.1、招标文件获取期限：详见招标公告或更正公告，若不一致，以更正公告为准。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7.3、获取地点及方式：注册账号后，通过福建省政府采购网上公开信息系统以下载方式获取。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7.4、招标文件售价：0元。</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8、投标截止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8.1、投标截止时间：详见招标公告或更正公告，若不一致，以更正公告为准。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8.2、投标人应在投标截止时间前按照福建省政府采购网上公开信息系统设定的操作流程将电子投标文件上传至福建省政府采购网上公开信息系统，否则投标将被拒绝。</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9、开标时间及地点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10、公告期限</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10.1、招标公告的公告期限：自财政部和福建省财政厅指定的政府采购信息发布媒体最先发布公告之日起5个工作日。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10.2、招标文件公告期限：招标文件随同招标公告一并发布，其公告期限与招标公告的公告期限保持一致。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b/>
          <w:sz w:val="24"/>
          <w:szCs w:val="24"/>
        </w:rPr>
      </w:pPr>
      <w:r>
        <w:rPr>
          <w:b/>
          <w:sz w:val="24"/>
          <w:szCs w:val="24"/>
        </w:rPr>
        <w:t>11、采购人：福建医科大学附属第一医院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地址：福州市台江区茶中路20号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邮编：350004</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联系人：王心纲</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联系电话：0591-87981192</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b/>
          <w:sz w:val="24"/>
          <w:szCs w:val="24"/>
        </w:rPr>
      </w:pPr>
      <w:r>
        <w:rPr>
          <w:b/>
          <w:sz w:val="24"/>
          <w:szCs w:val="24"/>
        </w:rPr>
        <w:t>12、代理机构：福建省中达招标代理有限公司</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地址：福建省福州市台江区宁化街道祥坂街357号（原西二环南路西侧）阳光假日广场办公楼11层10办公、17层09办公</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邮编：350004</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联系人：陈丽芳、邱玉婷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sz w:val="24"/>
          <w:szCs w:val="24"/>
        </w:rPr>
      </w:pPr>
      <w:r>
        <w:rPr>
          <w:sz w:val="24"/>
          <w:szCs w:val="24"/>
        </w:rPr>
        <w:t>联系电话：0591-88231280</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开户名称：福建省中达招标代理有限公司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1、投标人应认真核对账户信息，将投标保证金汇入以上账户，并自行承担因汇错投标保证金而产生的一切后果。</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b/>
                <w:sz w:val="24"/>
                <w:szCs w:val="24"/>
              </w:rPr>
              <w:t>2、投标人在转账或电汇的凭证上应按照以下格式注明，以便核对：“（项目编号：***）的投标保证金”。</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sz w:val="24"/>
          <w:szCs w:val="24"/>
        </w:rPr>
      </w:pPr>
      <w:r>
        <w:rPr>
          <w:b/>
          <w:sz w:val="24"/>
          <w:szCs w:val="24"/>
        </w:rPr>
        <w:t>附2：采购标的一览表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采购包1：</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采购包预算金额（元）: 5,050,000.00</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采购包最高限价（元）: 5,050,000.00</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sz w:val="24"/>
          <w:szCs w:val="24"/>
        </w:rPr>
        <w:t>采购包保证金金额（元）: 50,500.00</w:t>
      </w:r>
    </w:p>
    <w:tbl>
      <w:tblPr>
        <w:tblStyle w:val="6"/>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7"/>
        <w:gridCol w:w="2005"/>
        <w:gridCol w:w="913"/>
        <w:gridCol w:w="1878"/>
        <w:gridCol w:w="1328"/>
        <w:gridCol w:w="1328"/>
        <w:gridCol w:w="13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序号</w:t>
            </w:r>
          </w:p>
        </w:tc>
        <w:tc>
          <w:tcPr>
            <w:tcW w:w="2005"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标的名称</w:t>
            </w:r>
          </w:p>
        </w:tc>
        <w:tc>
          <w:tcPr>
            <w:tcW w:w="913"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数量</w:t>
            </w:r>
          </w:p>
        </w:tc>
        <w:tc>
          <w:tcPr>
            <w:tcW w:w="187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标的金额 （元）</w:t>
            </w:r>
          </w:p>
        </w:tc>
        <w:tc>
          <w:tcPr>
            <w:tcW w:w="132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计量单位</w:t>
            </w:r>
          </w:p>
        </w:tc>
        <w:tc>
          <w:tcPr>
            <w:tcW w:w="132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所属行业</w:t>
            </w:r>
          </w:p>
        </w:tc>
        <w:tc>
          <w:tcPr>
            <w:tcW w:w="13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1</w:t>
            </w:r>
          </w:p>
        </w:tc>
        <w:tc>
          <w:tcPr>
            <w:tcW w:w="2005"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彩色多普勒超声诊断系统项目一</w:t>
            </w:r>
          </w:p>
        </w:tc>
        <w:tc>
          <w:tcPr>
            <w:tcW w:w="913"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1.00</w:t>
            </w:r>
          </w:p>
        </w:tc>
        <w:tc>
          <w:tcPr>
            <w:tcW w:w="187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5,050,000.00</w:t>
            </w:r>
          </w:p>
        </w:tc>
        <w:tc>
          <w:tcPr>
            <w:tcW w:w="132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批</w:t>
            </w:r>
          </w:p>
        </w:tc>
        <w:tc>
          <w:tcPr>
            <w:tcW w:w="132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工业</w:t>
            </w:r>
          </w:p>
        </w:tc>
        <w:tc>
          <w:tcPr>
            <w:tcW w:w="13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rPr>
                <w:sz w:val="24"/>
                <w:szCs w:val="24"/>
              </w:rPr>
            </w:pPr>
            <w:r>
              <w:rPr>
                <w:sz w:val="24"/>
                <w:szCs w:val="24"/>
              </w:rPr>
              <w:t>否</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r>
        <w:rPr>
          <w:b/>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第二章 投标人须知前附表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一、投标人须知前附表1</w:t>
      </w:r>
    </w:p>
    <w:tbl>
      <w:tblPr>
        <w:tblStyle w:val="6"/>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1391"/>
        <w:gridCol w:w="7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8" w:type="dxa"/>
            <w:gridSpan w:val="3"/>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序号</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招标文件</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（第三章）</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6.1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10.4</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投标文件的份数：</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（1）可读介质（光盘或U盘）0份：投标人应将其上传至福建省政府采购网上公开信息系统的电子投标文件在该可读介质中另存0份。</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3</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10.7-（1）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是否允许中标人将本项目的非主体、非关键性工作进行分包：采购包1：不允许合同分包；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4</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10.8-（1）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5</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12.1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6</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12.2</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本项目中标人的确定（以采购包为单位）：</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（1）采购人应在政府采购招投标管理办法规定的时限内确定中标人。</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（2）若出现中标候选人并列情形，则按照下列方式确定中标人：</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①招标文件规定的方式：随机抽取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②若本款第①点规定方式为“无”，则按照下列方式确定：随机抽取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③若本款第①、②点规定方式均为“无”，则按照下列方式确定：随机抽取。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7</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13.2</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8</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15.1-（2）</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9</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15.4</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招标文件的质疑</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（1）潜在投标人可在质疑时效期间内对招标文件以书面形式提出质疑。</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（2）质疑时效期间：应在依法获取招标文件之日起7个工作日内向福建省中达招标代理有限公司提出，依法获取招标文件的时间以福建省政府采购网上公开信息系统记载的为准。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10</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16.1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11</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18.1</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财政部和福建省财政厅指定的政府采购信息发布媒体（以下简称：“指定媒体”）：</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（1）中国政府采购网，网址www.ccgp.gov.cn。</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（2）中国政府采购网福建分网（福建省政府采购网），网址zfcg.czt.fujian.gov.cn。</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12</w:t>
            </w:r>
          </w:p>
        </w:tc>
        <w:tc>
          <w:tcPr>
            <w:tcW w:w="139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19</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其他事项：</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(1)本项目代理服务费：</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本项目收取代理服务费</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代理服务费用收取对象：中标/成交供应商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代理服务费收费标准：代理服务费收费标准：本项目代理服务费按以下标准按差额累计计取：① 收费标准：中标（成交）金额在100万元人民币以内的：按中标（成交）的</w:t>
            </w:r>
            <w:r>
              <w:rPr>
                <w:rFonts w:hint="eastAsia"/>
                <w:b/>
                <w:sz w:val="24"/>
                <w:szCs w:val="24"/>
                <w:lang w:val="en-US" w:eastAsia="zh-CN"/>
              </w:rPr>
              <w:t>1.05</w:t>
            </w:r>
            <w:r>
              <w:rPr>
                <w:b/>
                <w:sz w:val="24"/>
                <w:szCs w:val="24"/>
              </w:rPr>
              <w:t>%计取；中标（成交）超过100万的：其中100万按中标（成交）的</w:t>
            </w:r>
            <w:r>
              <w:rPr>
                <w:rFonts w:hint="eastAsia"/>
                <w:b/>
                <w:sz w:val="24"/>
                <w:szCs w:val="24"/>
                <w:lang w:val="en-US" w:eastAsia="zh-CN"/>
              </w:rPr>
              <w:t>1.05</w:t>
            </w:r>
            <w:r>
              <w:rPr>
                <w:b/>
                <w:sz w:val="24"/>
                <w:szCs w:val="24"/>
              </w:rPr>
              <w:t>%计取；100万-500万部分金额按0.</w:t>
            </w:r>
            <w:r>
              <w:rPr>
                <w:rFonts w:hint="eastAsia"/>
                <w:b/>
                <w:sz w:val="24"/>
                <w:szCs w:val="24"/>
                <w:lang w:val="en-US" w:eastAsia="zh-CN"/>
              </w:rPr>
              <w:t>77</w:t>
            </w:r>
            <w:r>
              <w:rPr>
                <w:b/>
                <w:sz w:val="24"/>
                <w:szCs w:val="24"/>
              </w:rPr>
              <w:t>%计取；</w:t>
            </w:r>
            <w:r>
              <w:rPr>
                <w:rFonts w:hint="eastAsia"/>
                <w:b/>
                <w:sz w:val="24"/>
                <w:szCs w:val="24"/>
                <w:lang w:val="en-US" w:eastAsia="zh-CN"/>
              </w:rPr>
              <w:t>500</w:t>
            </w:r>
            <w:r>
              <w:rPr>
                <w:b/>
                <w:sz w:val="24"/>
                <w:szCs w:val="24"/>
              </w:rPr>
              <w:t>万-</w:t>
            </w:r>
            <w:r>
              <w:rPr>
                <w:rFonts w:hint="eastAsia"/>
                <w:b/>
                <w:sz w:val="24"/>
                <w:szCs w:val="24"/>
                <w:lang w:val="en-US" w:eastAsia="zh-CN"/>
              </w:rPr>
              <w:t>10</w:t>
            </w:r>
            <w:r>
              <w:rPr>
                <w:b/>
                <w:sz w:val="24"/>
                <w:szCs w:val="24"/>
              </w:rPr>
              <w:t>00万部分金额按0.</w:t>
            </w:r>
            <w:r>
              <w:rPr>
                <w:rFonts w:hint="eastAsia"/>
                <w:b/>
                <w:sz w:val="24"/>
                <w:szCs w:val="24"/>
                <w:lang w:val="en-US" w:eastAsia="zh-CN"/>
              </w:rPr>
              <w:t>56</w:t>
            </w:r>
            <w:r>
              <w:rPr>
                <w:b/>
                <w:sz w:val="24"/>
                <w:szCs w:val="24"/>
              </w:rPr>
              <w:t>%计取；中标人在领取中标通知书前，以转账或汇款方式提交，请投标人报价时予以充分考虑。②、代理服务费缴交帐户信息： 账户名：福建省中达招标代理有限公司，账号：3500 1890 0070 5251 5459，开户行：建设银行福州城北支行</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(2)其他：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【与招标文件其它表述存在矛盾的，以下述条款为准】：说明：(2)-1、无供应商为本次采购项目提供设计、编制规范、进行管理等服务。 (2)-2、开标后，如个别供应商开标报价明显低于其它合格供应商报价的，评标时，评委会有可能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 (2)-3、投标人应根据第七章投标文件格式制作投标文件【投标分项报价表除外，该表可根据项目特点或招标文件第五章报价要求（如有）制作】，否则不符之处将被视为不满足（涉及资格、实质性条款的按无效投标处理；涉及价格评审优惠的，不予认定；涉及评分的相应评分项不得分）。招标文件有不同表述的以本条为准。 (2)-4、质疑受理的其它要求：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福州市台江区宁化街道祥坂街357号阳光城时代广场17层09室（电话：0591-88231280、28303390)】提出质疑，否则视为投标人接受招标文件的规定。 ” (2)-5、根据采购资料归档需求，中标人在中标后应提供与电子投标文件内容相同的纸质投标文件（胶装后并加盖中标人单位公章骑缝章），数量：2套。 (2)-6、发布结果公告后，我司将通过电子邮件方式向参与本项目的所有未中标供应商发送评审结果通知书，请各投标人自行登录各自投标文件所附投标函中所预留的电子邮箱查看。各供应商投标文件所附投标函中未填写或未正确填写有效电子邮箱的，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8" w:type="dxa"/>
            <w:gridSpan w:val="2"/>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备注</w:t>
            </w:r>
          </w:p>
        </w:tc>
        <w:tc>
          <w:tcPr>
            <w:tcW w:w="735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后有投标人须知前附表2，请勿遗漏。</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87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6" w:type="dxa"/>
            <w:gridSpan w:val="2"/>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序号</w:t>
            </w:r>
          </w:p>
        </w:tc>
        <w:tc>
          <w:tcPr>
            <w:tcW w:w="873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w:t>
            </w:r>
          </w:p>
        </w:tc>
        <w:tc>
          <w:tcPr>
            <w:tcW w:w="873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（1）电子招标投标活动的专门规定适用本项目电子招标投标活动。</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（2）将招标文件无的内容修正为下列内容：无后适用本项目的电子招标投标活动。</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（3）将下列内容增列为招标文件的组成部分（以下简称：“增列内容”）适用本项目的电子招标投标活动，若增列内容与招标文件其他章节内容有冲突，应以增列内容为准：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①电子招标投标活动的具体操作流程以福建省政府采购网上公开信息系统设定的为准。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②关于电子投标文件：</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a.投标人应按照福建省政府采购网上公开信息系统设定的评审节点编制电子投标文件，否则资格审查小组、评标委员会将按照不利于投标人的内容进行认定。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③关于证明材料或资料：</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④关于“全称”、“投标人代表签字”及“加盖单位公章”：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a.在电子投标文件中，涉及“全称”和“投标人代表签字”的内容可使用打字录入方式完成。</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b.在电子投标文件中，涉及“加盖单位公章”的内容应使用投标人的CA证书完成，否则投标无效。</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c.在电子投标文件中，若投标人按照本增列内容第④点第b项规定加盖其单位公章，则出现无全称、或投标人代表未签字等情形，不视为投标无效。</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⑤关于投标人的CA证书：</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a.投标人的CA证书应在系统规定时间内使用CA证书进行电子投标文件的解密操作，逾期未解密的视为放弃投标。</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b.投标人的CA证书可采用信封（包括但不限于：信封、档案袋、文件袋等）作为外包装进行单独包装。外包装密封、不密封皆可。</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c.投标人的CA证书或外包装应标记“项目名称、项目编号、投标人的全称”等内容，以方便识别、使用。</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d.投标人的CA证书应能正常、有效使用，否则产生不利后果由投标人承担责任。</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⑥关于投标截止时间过后</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a.未按招标文件规定提交投标保证金的，其投标将按无效投标处理。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b.有下列情形之一的，其投标无效,其保证金不予退还或通过投标保函进行索赔：</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b1不同投标人的电子投标文件具有相同内部识别码；</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b2不同投标人的投标保证金从同一单位或个人的账户转出；</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b3投标人的投标保证金同一采购包下有其他投标人提交的投标保证金；</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b4不同投标人存在串通投标的其他情形。</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⑧其他：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第三章 投标人须知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一、总则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1、适用范围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1.1适用于招标文件载明项目的政府采购活动（以下简称：“本次采购活动”）。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2、定义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2.1“采购标的”指招标文件载明的需要采购的货物或服务。</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2.2“潜在投标人”指按照招标文件第一章第7条规定获取招标文件且有意向参加本项目投标的供应商。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2.3“投标人”指按照招标文件第一章第7条规定获取招标文件并参加本项目投标的供应商。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2.4“单位负责人”指单位法定代表人或法律、法规规定代表单位行使职权的主要负责人。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2.5“投标人代表”指投标人的单位负责人或“单位负责人授权书”中载明的接受授权方。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二、投标人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3、合格投标人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3.1一般规定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（2）投标人的资格要求：详见招标文件第一章。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3.2若本项目接受联合体投标且投标人为联合体，则联合体各方应遵守本章第3.1条规定，同时还应遵守下列规定：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（1）联合体各方应提交联合体协议，联合体协议应符合招标文件规定。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（2）联合体各方不得再单独参加或与其他供应商另外组成联合体参加同一合同项下的投标。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（3）联合体各方应共同与采购人签订政府采购合同，就政府采购合同约定的事项对采购人承担连带责任。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（5）联合体一方放弃中标的，视为联合体整体放弃中标，联合体各方承担连带责任。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（6）如本项目不接受联合体投标而投标人为联合体的，或者本项目接受联合体投标但投标人组成的联合体不符合本章第3.2条规定的，投标无效。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4、投标费用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4.1除招标文件另有规定外，投标人应自行承担其参加本项目投标所涉及的一切费用。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三、招标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5、招标文件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5.1招标文件由下述部分组成：</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（1）投标邀请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（2）投标人须知前附表（表1、2）</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（3）投标人须知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（4）资格审查与评标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（5）招标内容及要求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（6）政府采购合同（参考文本）</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（7）电子投标文件格式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（8）按照招标文件规定作为招标文件组成部分的其他内容（若有）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5.2招标文件的澄清或修改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（1）福建省中达招标代理有限公司可对已发出的招标文件进行必要的澄清或修改，但不得对招标文件载明的采购标的和投标人的资格要求进行改变。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除本章第5.2条第（3）款规定情形外，澄清或修改的内容可能影响电子投标文件编制的，福建省中达招标代理有限公司将在投标截止时间至少15个日历日前，在招标文件载明的指定媒体以更正公告的形式发布澄清或修改的内容。不足15个日历日的，福建省中达招标代理有限公司将顺延投标截止时间及开标时间，福建省中达招标代理有限公司和投标人受原投标截止时间及开标时间制约的所有权利和义务均延长至新的投标截止时间及开标时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澄清或修改的内容可能改变招标文件载明的采购标的和投标人的资格要求的，本次采购活动结束，福建省中达招标代理有限公司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6、现场考察或开标前答疑会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6.1是否组织现场考察或召开开标前答疑会：详见招标文件第二章。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7、更正公告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7.1若福建省中达招标代理有限公司发布更正公告，则更正公告及其所发布的内容或信息（包括但不限于：招标文件的澄清或修改、现场考察或答疑会的有关事宜等）作为招标文件组成部分，对投标人具有约束力。</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7.2更正公告作为福建省中达招标代理有限公司通知所有潜在投标人的书面形式。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8、终止公告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8.1若出现因重大变故导致采购任务取消情形，福建省中达招标代理有限公司可终止招标并发布终止公告。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8.2终止公告作为福建省中达招标代理有限公司通知所有潜在投标人的书面形式。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四、投标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9.1投标人可对招标文件载明的全部或部分采购包进行投标。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9.2投标人应对同一个采购包内的所有内容进行完整投标，否则投标无效。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9.3投标人代表只能接受一个投标人的授权参加投标，否则投标无效。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9.4单位负责人为同一人或存在直接控股、管理关系的不同供应商，不得同时参加同一合同项下的投标，否则投标无效。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9.7有下列情形之一的，视为投标人串通投标，其投标无效：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（1）不同投标人的电子投标文件由同一单位或个人编制；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（2）不同投标人委托同一单位或个人办理投标事宜；</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（3）不同投标人的电子投标文件载明的项目管理成员或联系人员为同一人；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（4）不同投标人的电子投标文件异常一致或投标报价呈规律性差异；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（5）不同投标人的电子投标文件相互混装；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（6）不同投标人的投标保证金从同一单位或个人的账户转出；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（7）有关法律、法规和规章及招标文件规定的其他串通投标情形。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10.1电子投标文件的编制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（1）投标人应先仔细阅读招标文件的全部内容后，再进行电子投标文件的编制。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（2）电子投标文件应按照本章第10.2条规定编制其组成部分。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10.2电子投标文件由下述部分组成：</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（1）资格及资信证明部分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①投标函</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②投标人的资格及资信证明文件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③投标保证金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（2）报价部分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①开标一览表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②投标分项报价表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③招标文件规定的价格扣除证明材料（若有）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④招标文件规定的加分证明材料（若有）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（3）技术商务部分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①标的说明一览表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②技术和服务要求响应表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③商务条件响应表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④投标人提交的其他资料（若有）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⑤招标文件规定作为电子投标文件组成部分的其他内容（若有）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10.3电子投标文件的语言</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（1）除招标文件另有规定外，电子投标文件应使用中文文本，若有不同文本，以中文文本为准。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10.4投标文件的份数：详见招标文件第二章。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10.5电子投标文件的格式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（1）除招标文件另有规定外，电子投标文件应使用招标文件第七章规定的格式。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（2）除招标文件另有规定外，电子投标文件应使用不能擦去的墨料或墨水打印、书写或复印。</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（3）除招标文件另有规定外，电子投标文件应使用人民币作为计量货币。</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（4）除招标文件另有规定外，签署、盖章应遵守下列规定：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①电子投标文件应加盖投标人的单位公章。若投标人代表为单位授权的委托代理人，应提供“单位授权书”。</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电子投标文件应没有涂改或行间插字，除非这些改动是根据福建省中达招标代理有限公司的指示进行的，或是为改正投标人造成的应修改的错误而进行的。若有前述改动，应按照下列规定之一对改动处进行处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a.投标人代表签字确认；</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b.加盖投标人的单位公章或校正章。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10.6投标报价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（1）投标报价超出最高限价将导致投标无效。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（2）最高限价由采购人根据价格测算情况，在预算金额的额度内合理设定。最高限价不得超出预算金额。</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10.7分包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（1）是否允许中标人将本项目的非主体、非关键性工作进行分包：详见招标文件第二章。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（3）招标文件允许中标人将非主体、非关键性工作进行分包的项目，有下列情形之一的，中标人不得分包：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①电子投标文件中未载明分包承担主体；</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②电子投标文件载明的分包承担主体不具备相应资质条件；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③电子投标文件载明的分包承担主体拟再次分包；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④享受中小企业扶持政策获得政府采购合同的，小微企业不得将合同分包给大中型企业，中型企业不得将合同分包给大型企业。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10.8投标有效期</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（1）招标文件载明的投标有效期：详见招标文件第二章。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（2）电子投标文件承诺的投标有效期不得少于招标文件载明的投标有效期，否则投标无效。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根据本次采购活动的需要，福建省中达招标代理有限公司可于投标有效期届满之前书面要求投标人延长投标有效期，投标人应在福建省中达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10.9投标保证金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（1）投标保证金作为投标人按照招标文件规定履行相应投标责任、义务的约束及担保。</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（2）投标人以电子保函形式提交投标保证金的，保函的有效期应等于或长于电子投标文件承诺的投标有效期，否则投标无效。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（3）提交</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b/>
          <w:sz w:val="24"/>
          <w:szCs w:val="24"/>
        </w:rPr>
        <w:t>③其他形式：</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b/>
          <w:sz w:val="24"/>
          <w:szCs w:val="24"/>
        </w:rPr>
        <w:t>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④若本项目接受联合体投标且投标人为联合体，则联合体中的牵头方应按照本章第10.9条第（3）款第①、②、③点规定提交投标保证金。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※除招标文件另有规定外，未按照上述规定提交投标保证金将导致资格审查不合格。</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（4）退还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①在投标截止时间前撤回已提交的电子投标文件的投标人，其投标保证金将在福建省中达招标代理有限公司收到投标人书面撤回通知之日起5个工作日内退回原账户。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②未中标人的投标保证金将在中标通知书发出之日起5个工作日内退回原账户。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③中标人的投标保证金将在政府采购合同签订之日起5个工作日内退回原账户；合同签订之日以福建省政府采购网上公开信息系统记载的为准。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④终止招标的，福建省中达招标代理有限公司将在终止公告发布之日起5个工作日内退回已收取的投标保证金及其在银行产生的孳息。</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⑤除招标文件另有规定外，质疑或投诉涉及的投标人，若投标保证金尚未退还，则待质疑或投诉处理完毕后不计利息原额退还。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※本章第10.9条第（4）款第①、②、③点规定的投标保证金退还时限不包括因投标人自身原因导致无法及时退还而增加的时间。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（6）有下列情形之一的，投标保证金将不予退还或通过投标保函进行索赔：</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①投标人串通投标；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②投标人提供虚假材料；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③投标人采取不正当手段诋毁、排挤其他投标人；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④投标截止时间后，投标人在投标有效期内撤销电子投标文件；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⑤招标文件规定的其他不予退还情形；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⑥中标人有下列情形之一的：</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a.除不可抗力外，因中标人自身原因未在中标通知书要求的期限内与采购人签订政府采购合同；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b.未按照招标文件、投标文件的约定签订政府采购合同或提交履约保证金。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※若上述投标保证金不予退还情形给采购人（采购代理机构）造成损失，则投标人还要承担相应的赔偿责任。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10.10电子投标文件的提交</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（1）一个投标人只能提交一个电子投标文件，并按照招标文件第一章规定在系统上完成上传、解密操作。</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10.11电子投标文件的补充、修改或撤回</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（1）投标截止时间前，投标人可对所提交的电子投标文件进行补充、修改或撤回，并书面通知福建省中达招标代理有限公司。</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（2）补充、修改的内容应按照本章第10.5条第（4）款规定进行签署、盖章，并按照本章第10.10条规定提交，否则将被拒收。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※按照上述规定提交的补充、修改内容作为电子投标文件组成部分。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10.12除招标文件另有规定外，有下列情形之一的，投标无效：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（1）电子投标文件未按照招标文件要求签署、盖章；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（2）不符合招标文件中规定的资格要求；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（3）投标报价超过招标文件中规定的预算金额或最高限价；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（4）电子投标文件含有采购人不能接受的附加条件；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（5）有关法律、法规和规章及招标文件规定的其他无效情形。</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五、开标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11、开标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11.1福建省中达招标代理有限公司将在招标文件载明的开标时间及地点主持召开开标会，并邀请投标人参加。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11.2开标会的主持人、唱标人、记录人及其他工作人员（若有）均由福建省中达招标代理有限公司派出，现场监督人员（若有）可由有关方面派出。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11.4开标会应遵守下列规定：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（5）若投标人未到开标现场参加开标会，也未通过远程参加开标会的，视同认可开标结果。</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达招标代理有限公司提出任何疑义或要求（包括质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11.5投标截止时间后，参加投标的投标人不足三家的，不进行开标。同时，本次采购活动结束，福建省中达招标代理有限公司将依法组织后续采购活动（包括但不限于：重新招标、采用其他方式采购等）。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11.6投标截止时间后撤销投标的处理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投标截止时间后，投标人在投标有效期内撤销投标的，其撤销投标的行为无效。</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六、中标与政府采购合同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12、中标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12.1本项目推荐的中标候选人家数：详见招标文件第二章。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12.2本项目中标人的确定：详见招标文件第二章。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12.3中标公告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（1）中标人确定之日起2个工作日内，福建省中达招标代理有限公司将在招标文件载明的指定媒体以中标公告的形式发布中标结果。</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（2）中标公告的公告期限为1个工作日。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12.4中标通知书</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（1）中标公告发布的同时，福建省中达招标代理有限公司将向中标人发出中标通知书。</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（2）中标通知书发出后，采购人不得违法改变中标结果，中标人无正当理由不得放弃中标。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13、政府采购合同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13.2签订时限：详见须知前附表1的13.2。</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13.3政府采购合同的履行、违约责任和解决争议的方法等适用民法典。</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13.4采购人与中标人应根据政府采购合同的约定依法履行合同义务。</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13.5政府采购合同履行过程中，采购人若需追加与合同标的相同的货物或服务，则追加采购金额不得超过原合同采购金额的10%。</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13.6中标人在政府采购合同履行过程中应遵守有关法律、法规和规章的强制性规定（即使前述强制性规定有可能在招标文件中未予列明）。</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七、询问、质疑与投诉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14、询问</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14.1潜在投标人或投标人对本次采购活动的有关事项若有疑问，可向福建省中达招标代理有限公司提出询问，福建省中达招标代理有限公司将按照政府采购法及实施条例的有关规定进行答复。</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15、质疑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（2）质疑人应按照招标文件第二章规定方式提交质疑函。</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（3）质疑函应包括下列主要内容：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①质疑人的基本信息，至少包括：全称、地址、邮政编码等；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②所质疑项目的基本信息，至少包括：项目编号、项目名称等；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③所质疑的具体事项（以下简称：“质疑事项”）；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针对质疑事项提出的明确请求，前述明确请求指质疑人提出质疑的目的以及希望福建省中达招标代理有限公司对其质疑作出的处理结果，如：暂停招标投标活动、修改招标文件、停止或纠正违法违规行为、中标结果无效、废标、重新招标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⑤针对质疑事项导致质疑人自身权益受到损害的必要证明材料，至少包括：</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a.质疑人代表的身份证明材料：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a2若本项目接受自然人投标且质疑人为自然人的，提供本人的身份证复印件。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b.其他证明材料（即事实依据和必要的法律依据）包括但不限于下列材料：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b1所质疑的具体事项是与自己有利害关系的证明材料；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b2质疑函所述事实存在的证明材料，如：采购文件、采购过程或中标结果违法违规或不符合采购文件要求等证明材料；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b3依法应终止采购程序的证明材料；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b4应重新采购的证明材料；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b5采购文件、采购过程或中标、成交结果损害自己合法权益的证明材料等；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⑥质疑人代表及其联系方法的信息，至少包括：姓名、手机、电子信箱、邮寄地址等。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⑦提出质疑的日期。</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15.2对不符合本章第15.1条规定的质疑，将按照下列规定进行处理：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（1）不符合其中第（1）、（2）条规定的，书面告知质疑人不予受理及其理由。</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（2）不符合其中第（3）条规定的，书面告知质疑人修改、补充后在规定时限内重新提交质疑函。</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15.3对符合本章第15.1条规定的质疑，将按照政府采购法及实施条例、政府采购质疑和投诉办法的有关规定进行答复。</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15.4招标文件的质疑：详见招标文件第二章。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16、投诉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16.2投诉应有明确的请求和必要的证明材料，投诉的事项不得超出已质疑事项的范围。</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八、政府采购政策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17、政府采购政策由财政部根据国家的经济和社会发展政策并会同国家有关部委制定，包括但不限于下列具体政策要求：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17.1进口产品指通过中国海关报关验放进入中国境内且产自关境外的产品，其中：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（2）凡在海关特殊监管区域内企业生产或加工（包括从境外进口料件）销往境内其他地区的产品，不作为政府采购项下进口产品。</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（3）对从境外进入海关特殊监管区域，再经办理报关手续后从海关特殊监管区进入境内其他地区的产品，认定为进口产品。</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（4）招标文件列明不允许或未列明允许进口产品参加投标的，均视为拒绝进口产品参加投标。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（1）中小企业指符合下列条件的中型、小型、微型企业：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②符合中小企业划分标准的个体工商户，在政府采购活动中视同中小企业。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（2）在政府采购活动中，供应商提供的货物、工程或者服务符合下列情形的，享受本办法规定的中小企业扶持政策：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①在货物采购项目中，货物由中小企业制造，即货物由中小企业生产且使用该中小企业商号或者注册商标；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②在工程采购项目中，工程由中小企业承建，即工程施工单位为中小企业；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③在服务采购项目中，服务由中小企业承接，即提供服务的人员为中小企业依照《中华人民共和国劳动合同法》订立劳动合同的从业人员。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在货物采购项目中，供应商提供的货物既有中小企业制造货物，也有大型企业制造货物的，不享受本办法规定的中小企业扶持政策。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（3）投标人应当按照招标文件明确的采购标的对应行业的划分标准出具中小企业声明函。</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①监狱企业参加采购活动时，应提供由省级以上监狱管理局、戒毒管理局（含新疆生产建设兵团）出具的属于监狱企业的证明文件。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②监狱企业视同小型、微型企业。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（5）残疾人福利性单位指同时符合下列条件的单位：</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①安置的残疾人占本单位在职职工人数的比例不低于25%（含25%），并且安置的残疾人人数不少于10人（含10人）；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②依法与安置的每位残疾人签订了一年以上（含一年）的劳动合同或服务协议；</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③为安置的每位残疾人按月足额缴纳了基本养老保险、基本医疗保险、失业保险、工伤保险和生育保险等社会保险费；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④通过银行等金融机构向安置的每位残疾人，按月支付了不低于单位所在区县适用的经省级人民政府批准的月最低工资标准的工资；</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17.4信用记录指由财政部确定的有关网站提供的相关主体信用信息。信用记录的查询及使用应符合财政部文件（财库[2016]125号）规定。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17.5为落实政府采购政策需满足的要求：详见招标文件第一章。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九、本项目的有关信息</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18.1指定媒体：详见招标文件第二章。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18.2本项目的潜在投标人或投标人应随时关注指定媒体，否则产生不利后果由其自行承担。</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十、其他事项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19、其他事项：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19.1本项目中如涉及商品包装和快递包装的，其包装需求标准应不低于《关于印发〈商品包装政府采购需求标准(试行)〉、〈快递包装政府采购需求标准(试行)〉的通知》（财办库〔2020〕</w:t>
      </w:r>
      <w:r>
        <w:rPr>
          <w:b/>
          <w:sz w:val="24"/>
          <w:szCs w:val="24"/>
        </w:rPr>
        <w:tab/>
      </w:r>
      <w:r>
        <w:rPr>
          <w:b/>
          <w:sz w:val="24"/>
          <w:szCs w:val="24"/>
        </w:rPr>
        <w:tab/>
      </w:r>
      <w:r>
        <w:rPr>
          <w:b/>
          <w:sz w:val="24"/>
          <w:szCs w:val="24"/>
        </w:rPr>
        <w:t xml:space="preserve"> 123号）规定的包装要求，其他包装需求详见招标文件具体规定。采购人、中标人双方签订合同及验收环节，应包含上述包装要求的条款。</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19.2其他：详见招标文件第二章。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r>
        <w:rPr>
          <w:b/>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第四章 资格审查与评标</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一、资格审查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1、开标结束后，由福建省中达招标代理有限公司负责资格审查小组的组建及资格审查工作的组织。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b/>
          <w:sz w:val="24"/>
          <w:szCs w:val="24"/>
        </w:rPr>
      </w:pPr>
      <w:r>
        <w:rPr>
          <w:b/>
          <w:sz w:val="24"/>
          <w:szCs w:val="24"/>
        </w:rPr>
        <w:t>1.1资格审查小组</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资格审查小组由3人组成，并负责具体审查事务，其中由采购人派出的采购人代表至少1人，由福建省中达招标代理有限公司派出的工作人员至少1人，其余1人可为采购人代表或福建省中达招标代理有限公司的工作人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1.2资格审查的依据是招标文件和电子投标文件。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1.3资格审查的范围及内容：电子投标文件（资格及资信证明部分），具体如下：</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（1）“投标函”；</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（2）“投标人的资格及资信证明文件”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①一般资格证明文件：</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15"/>
        <w:gridCol w:w="67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序号</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资格审查要求概况</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单位授权书</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营业执照等证明文件</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3</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提供财务状况报告(财务报告、或资信证明）</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4</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依法缴纳税收证明材料</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5</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依法缴纳社会保障资金证明材料</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6</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具备履行合同所必需设备和专业技术能力的声明函(若有)</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7</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参加采购活动前三年内在经营活动中没有重大违法记录的声明</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8</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信用记录查询结果</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9</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中小企业声明函（以资格条件落实中小企业扶持政策时适用 ）</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10</w:t>
            </w:r>
          </w:p>
        </w:tc>
        <w:tc>
          <w:tcPr>
            <w:tcW w:w="221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联合体协议（若有）</w:t>
            </w:r>
          </w:p>
        </w:tc>
        <w:tc>
          <w:tcPr>
            <w:tcW w:w="67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※备注说明</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①投标人应根据自身实际情况提供上述资格要求的证明材料，格式可参考招标文件第七章提供。</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②投标人提供的相应证明材料复印件均应符合：内容完整、清晰、整洁，并由投标人加盖其单位公章。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②.其他资格证明文件：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4"/>
        <w:gridCol w:w="73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资格审查要求概况</w:t>
            </w:r>
          </w:p>
        </w:tc>
        <w:tc>
          <w:tcPr>
            <w:tcW w:w="737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采购人提出特定条件的证明材料1</w:t>
            </w:r>
          </w:p>
        </w:tc>
        <w:tc>
          <w:tcPr>
            <w:tcW w:w="737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投货物若属于医疗器械管理范畴，按照国家《医疗器械监督管理条例》，应符合以下标准：①投标人为制造商的，须提供医疗器械生产许可证书(进口产品除外)；投标人为经销商的，投标货物属于三类医疗器械的，须提供医疗器械经营许可证书，投标货物属于二类医疗器械的，也可提供二类医疗器械的经营备案凭证（若有附件也应提供），投标货物属于一类医疗器械的，则无须提供此项。②投标货物属于第二类、第三类医疗器械产品应取得医疗器械注册证且在有效期内（若有附件也应提供）。（投标人提交的技术商务卷《标的说明一览表》中注明的产品规格型号应与注册证书上注明的产品规格型号保持一致）</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（3）投标保证金。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未按照招标文件规定提交投标保证金</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采购包1：</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3"/>
        <w:gridCol w:w="82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w:t>
            </w:r>
          </w:p>
        </w:tc>
        <w:tc>
          <w:tcPr>
            <w:tcW w:w="82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2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2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2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3、不满足招标文件第七章投标文件格式“资格及资信证明部分”中“※注意”事项的。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3"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2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4、招标文件规定的其他投标无效情形。</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2、资格审查情况不得私自外泄，有关信息由福建省中达招标代理有限公司统一对外发布。</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3、资格审查合格的投标人不足三家的，不进行评标。同时，本次采购活动结束，福建省中达招标代理有限公司将依法组织后续采购活动（包括但不限于：重新招标、采用其他方式采购等）。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sz w:val="24"/>
          <w:szCs w:val="24"/>
        </w:rPr>
      </w:pPr>
      <w:r>
        <w:rPr>
          <w:b/>
          <w:sz w:val="24"/>
          <w:szCs w:val="24"/>
        </w:rPr>
        <w:t>二、评标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4、资格审查结束后，由福建省中达招标代理有限公司负责评标委员会的组建及评标工作的组织。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b/>
          <w:sz w:val="24"/>
          <w:szCs w:val="24"/>
        </w:rPr>
      </w:pPr>
      <w:r>
        <w:rPr>
          <w:b/>
          <w:sz w:val="24"/>
          <w:szCs w:val="24"/>
        </w:rPr>
        <w:t>5、评标委员会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由采购人代表和评审专家两部分共5人组成，其中由福建省政府采购评审专家库产生的评审专家4人，由采购人派出的采购人代表1人。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5.2评标委员会负责具体评标事务，并按照下列原则依法独立履行有关职责：</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（1）评标应保护国家利益、社会公共利益和各方当事人合法权益，提高采购效益，保证项目质量。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（2）评标应遵循公平、公正、科学、严谨和择优原则。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（3）评标的依据是招标文件和电子投标文件。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（4）应按照招标文件规定推荐中标候选人或确定中标人。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（5）评标应遵守下列评标纪律：</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①评标情况不得私自外泄，有关信息由福建省中达招标代理有限公司统一对外发布。</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②对福建省中达招标代理有限公司或投标人提供的要求保密的资料，不得摘记翻印和外传。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③不得收受投标人或有关人员的任何礼物，不得串联鼓动其他人袒护某投标人。若与投标人存在利害关系，则应主动声明并回避。</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④全体评委应按照招标文件规定进行评标，一切认定事项应查有实据且不得弄虚作假。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⑤评标中应充分发扬民主，推荐中标候选人或确定中标人后要服从评标报告。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※对违反评标纪律的评委，将取消其评委资格，对评标工作造成严重损失者将予以通报批评乃至追究法律责任。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6、评标程序</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6.1评标前的准备工作</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（1）全体评委应认真审阅招标文件，了解评委应履行或遵守的职责、义务和评标纪律。</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6.2符合性审查</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（1）评标委员会依据招标文件的实质性要求，对通过资格审查的电子投标文件进行符合性审查，以确定其是否满足招标文件的实质性要求。</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（2）满足招标文件的实质性要求指电子投标文件对招标文件实质性要求的响应不存在重大偏差或保留。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（5）评标委员会对所有投标人都执行相同的程序和标准。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（6）有下列情形之一的，符合性审查不合格：</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①项目一般情形：</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216"/>
        <w:gridCol w:w="67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序号</w:t>
            </w:r>
          </w:p>
        </w:tc>
        <w:tc>
          <w:tcPr>
            <w:tcW w:w="2216"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符合审查要求概况</w:t>
            </w:r>
          </w:p>
        </w:tc>
        <w:tc>
          <w:tcPr>
            <w:tcW w:w="67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2216"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情形1</w:t>
            </w:r>
          </w:p>
        </w:tc>
        <w:tc>
          <w:tcPr>
            <w:tcW w:w="67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w:t>
            </w:r>
          </w:p>
        </w:tc>
        <w:tc>
          <w:tcPr>
            <w:tcW w:w="2216"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情形2</w:t>
            </w:r>
          </w:p>
        </w:tc>
        <w:tc>
          <w:tcPr>
            <w:tcW w:w="67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w:t>
            </w:r>
          </w:p>
        </w:tc>
        <w:tc>
          <w:tcPr>
            <w:tcW w:w="2216"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情形3</w:t>
            </w:r>
          </w:p>
        </w:tc>
        <w:tc>
          <w:tcPr>
            <w:tcW w:w="6784"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投标文件对招标文件实质性要求的响应存在重大偏离或保留。</w:t>
            </w:r>
          </w:p>
        </w:tc>
      </w:tr>
    </w:tbl>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②本项目规定的其他情形：</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采购包1：</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9"/>
        <w:gridCol w:w="85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1、产品未经过进口产品论证，而投标人以进口产品投标；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2、技术部分中出现报价部分的全部或部分的投标报价信息（或组成资料）的；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3、不满足招标文件第五章《招标内容及要求》中带★号条款的；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4、投标人技术部分的实际得分少于招标文件设定的技术部分总分50%的（适用于综合评分法）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5、投标人提交的技术商务卷《标的说明一览表》中注明的产品规格型号与资格证明文件中提供的药监部门出具的注册证书上注明的产品规格型号不一致且没有合理解释的；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38"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7、招标文件规定的其他投标无效情形。</w:t>
            </w:r>
          </w:p>
        </w:tc>
      </w:tr>
    </w:tbl>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9"/>
        <w:gridCol w:w="85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情形</w:t>
            </w:r>
          </w:p>
        </w:tc>
        <w:tc>
          <w:tcPr>
            <w:tcW w:w="852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2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1、商务部分中出现报价部分的全部或部分的投标报价信息（或组成资料）的；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2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2、不满足招标文件第五章《招标内容及要求》中“三、商务条件”任一条款的，投标无效，招标文件有不同表述的，以本条为准。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9"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其他情形</w:t>
            </w:r>
          </w:p>
        </w:tc>
        <w:tc>
          <w:tcPr>
            <w:tcW w:w="8527" w:type="dxa"/>
          </w:tcPr>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3、招标文件规定的其他投标无效情形。</w:t>
            </w:r>
          </w:p>
        </w:tc>
      </w:tr>
    </w:tbl>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附加符合性：无</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价格符合性：无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6.3澄清有关问题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（3）电子投标文件报价出现前后不一致的，除招标文件另有规定外，按照下列规定修正：</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①开标一览表内容与电子投标文件中相应内容不一致的，以开标一览表为准；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②大写金额和小写金额不一致的，以大写金额为准；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③单价金额小数点或百分比有明显错位的，以开标一览表的总价为准，并修改单价；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④总价金额与按照单价汇总金额不一致的，以单价金额计算结果为准。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（4）关于细微偏差</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（5）关于投标描述（即电子投标文件中描述的内容）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①投标描述前后不一致且不涉及证明材料的：按照本章第6.3条第（1）、（2）款规定执行。</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②投标描述与证明材料不一致或多份证明材料之间不一致的：</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a.评标委员会将要求投标人进行书面澄清，并按照不利于投标人的内容进行评标。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6.4比较与评价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（1）按照本章第7条载明的评标方法和标准，对符合性审查合格的电子投标文件进行比较与评价。</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（2）关于相同品牌产品（政府采购服务类项目不适用本条款规定）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a.招标文件规定的方式：随机抽取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b.招标文件未规定的，采取随机抽取方式确定，其他投标无效。</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a.招标文件规定的方式：随机抽取</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b.招标文件未规定的，采取随机抽取方式确定，其他同品牌投标人不作为中标候选人。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③非单一产品采购项目，多家投标人提供的核心产品品牌相同的，按照本章第6.4条第（2）款第①、②规定处理。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（3）漏（缺）项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①招标文件中要求列入报价的费用（含配置、功能），漏（缺）项的报价视为已经包括在投标总价中。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②对多报项及赠送项的价格评标时不予核减，全部进入评标价评议。</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6.5推荐中标候选人：详见本章第7.2条规定。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6.6编写评标报告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（1）评标报告由评标委员会负责编写。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（2）评标报告应包括下列内容：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①招标公告刊登的媒体名称、开标日期和地点；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②投标人名单和评标委员会成员名单；</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③评标方法和标准；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④开标记录和评标情况及说明，包括无效投标人名单及原因；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⑤评标结果，包括中标候选人名单或确定的中标人；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⑥其他需要说明的情况，包括但不限于：评标过程中投标人的澄清、说明或补正，评委更换等。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6.8评委对需要共同认定的事项存在争议的，应按照少数服从多数的原则进行认定。持不同意见的评委应在评标报告上签署不同意见及理由，否则视为同意评标报告。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6.9在评标过程中发现投标人有下列情形之一的，评标委员会应认定其投标无效，并书面报告本项目监督管理部门：</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（1）恶意串通（包括但不限于招标文件第三章第9.7条规定情形）；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（2）妨碍其他投标人的竞争行为；</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（3）损害采购人或其他投标人的合法权益。</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6.10评标过程中，有下列情形之一的，应予废标：</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（1）符合性审查合格的投标人不足三家的；</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（2）有关法律、法规和规章规定废标的情形。</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※若废标，则本次采购活动结束，福建省中达招标代理有限公司将依法组织后续采购活动（包括但不限于：重新招标、采用其他方式采购等）。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7、评标方法和标准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7.1评标方法：采购包1：综合评分法</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b/>
          <w:sz w:val="24"/>
          <w:szCs w:val="24"/>
        </w:rPr>
      </w:pPr>
      <w:r>
        <w:rPr>
          <w:b/>
          <w:sz w:val="24"/>
          <w:szCs w:val="24"/>
        </w:rPr>
        <w:t>7.2评标标准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采购包1：综合评分法</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价格扣除的规则如下：</w:t>
      </w:r>
    </w:p>
    <w:tbl>
      <w:tblPr>
        <w:tblStyle w:val="6"/>
        <w:tblW w:w="98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42"/>
        <w:gridCol w:w="56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项目</w:t>
            </w:r>
          </w:p>
        </w:tc>
        <w:tc>
          <w:tcPr>
            <w:tcW w:w="166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适用对象</w:t>
            </w:r>
          </w:p>
        </w:tc>
        <w:tc>
          <w:tcPr>
            <w:tcW w:w="942"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比例</w:t>
            </w:r>
          </w:p>
        </w:tc>
        <w:tc>
          <w:tcPr>
            <w:tcW w:w="5624"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小型、微型企业，监狱企业，残疾人福利性单位</w:t>
            </w:r>
          </w:p>
        </w:tc>
        <w:tc>
          <w:tcPr>
            <w:tcW w:w="1661"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投标人或者联合体均为小型、微型企业</w:t>
            </w:r>
          </w:p>
        </w:tc>
        <w:tc>
          <w:tcPr>
            <w:tcW w:w="942" w:type="dxa"/>
          </w:tcPr>
          <w:p>
            <w:pPr>
              <w:pStyle w:val="10"/>
              <w:keepNext w:val="0"/>
              <w:keepLines w:val="0"/>
              <w:pageBreakBefore w:val="0"/>
              <w:widowControl/>
              <w:kinsoku/>
              <w:wordWrap/>
              <w:overflowPunct/>
              <w:topLinePunct w:val="0"/>
              <w:autoSpaceDE/>
              <w:autoSpaceDN/>
              <w:bidi w:val="0"/>
              <w:adjustRightInd/>
              <w:snapToGrid/>
              <w:spacing w:line="400" w:lineRule="atLeast"/>
              <w:jc w:val="right"/>
              <w:textAlignment w:val="auto"/>
              <w:rPr>
                <w:sz w:val="24"/>
                <w:szCs w:val="24"/>
              </w:rPr>
            </w:pPr>
            <w:r>
              <w:rPr>
                <w:b/>
                <w:sz w:val="24"/>
                <w:szCs w:val="24"/>
              </w:rPr>
              <w:t>15.00%</w:t>
            </w:r>
          </w:p>
        </w:tc>
        <w:tc>
          <w:tcPr>
            <w:tcW w:w="5624"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经与采购人确认，本项目为未预留份额专门面向中小企业采购的货物类采购项目，本采购标的对应的中小企业划分标准所属行业为工业。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其他：无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技术项（F2×A2）满分为60.00分</w:t>
      </w:r>
    </w:p>
    <w:tbl>
      <w:tblPr>
        <w:tblStyle w:val="6"/>
        <w:tblW w:w="98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889"/>
        <w:gridCol w:w="78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项目</w:t>
            </w:r>
          </w:p>
        </w:tc>
        <w:tc>
          <w:tcPr>
            <w:tcW w:w="889"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分值</w:t>
            </w:r>
          </w:p>
        </w:tc>
        <w:tc>
          <w:tcPr>
            <w:tcW w:w="7892"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rFonts w:hint="eastAsia" w:ascii="宋体" w:hAnsi="宋体" w:eastAsia="宋体" w:cs="宋体"/>
                <w:kern w:val="0"/>
                <w:sz w:val="24"/>
                <w:szCs w:val="24"/>
                <w:lang w:val="en-US" w:eastAsia="zh-CN" w:bidi="ar"/>
              </w:rPr>
              <w:t>T1、技术指标响应情况</w:t>
            </w:r>
          </w:p>
        </w:tc>
        <w:tc>
          <w:tcPr>
            <w:tcW w:w="889" w:type="dxa"/>
          </w:tcPr>
          <w:p>
            <w:pPr>
              <w:pStyle w:val="10"/>
              <w:keepNext w:val="0"/>
              <w:keepLines w:val="0"/>
              <w:pageBreakBefore w:val="0"/>
              <w:widowControl/>
              <w:kinsoku/>
              <w:wordWrap/>
              <w:overflowPunct/>
              <w:topLinePunct w:val="0"/>
              <w:autoSpaceDE/>
              <w:autoSpaceDN/>
              <w:bidi w:val="0"/>
              <w:adjustRightInd/>
              <w:snapToGrid/>
              <w:spacing w:line="400" w:lineRule="atLeast"/>
              <w:jc w:val="right"/>
              <w:textAlignment w:val="auto"/>
              <w:rPr>
                <w:sz w:val="24"/>
                <w:szCs w:val="24"/>
              </w:rPr>
            </w:pPr>
            <w:r>
              <w:rPr>
                <w:b/>
                <w:sz w:val="24"/>
                <w:szCs w:val="24"/>
              </w:rPr>
              <w:t>60.00</w:t>
            </w:r>
          </w:p>
        </w:tc>
        <w:tc>
          <w:tcPr>
            <w:tcW w:w="7892"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rFonts w:hint="eastAsia" w:ascii="宋体" w:hAnsi="宋体" w:eastAsia="宋体" w:cs="宋体"/>
                <w:kern w:val="0"/>
                <w:sz w:val="24"/>
                <w:szCs w:val="24"/>
                <w:lang w:val="en-US" w:eastAsia="zh-CN" w:bidi="ar"/>
              </w:rPr>
              <w:t>根据投标人所投设备对《第五章招标内容及要求》“二、技术服务要求”中技术参数的响应、承诺情况，由评委进行评议并评分, 完全满足招标文件技术参数要求的得</w:t>
            </w:r>
            <w:r>
              <w:rPr>
                <w:rFonts w:hint="eastAsia" w:ascii="宋体" w:hAnsi="宋体" w:cs="宋体"/>
                <w:kern w:val="0"/>
                <w:sz w:val="24"/>
                <w:szCs w:val="24"/>
                <w:lang w:val="en-US" w:eastAsia="zh-CN" w:bidi="ar"/>
              </w:rPr>
              <w:t>60</w:t>
            </w:r>
            <w:r>
              <w:rPr>
                <w:rFonts w:hint="eastAsia" w:ascii="宋体" w:hAnsi="宋体" w:eastAsia="宋体" w:cs="宋体"/>
                <w:kern w:val="0"/>
                <w:sz w:val="24"/>
                <w:szCs w:val="24"/>
                <w:lang w:val="en-US" w:eastAsia="zh-CN" w:bidi="ar"/>
              </w:rPr>
              <w:t>分，评审指标中标注“▲”符号的技术参数评审指标中标注“▲”符号的技术参数（共</w:t>
            </w: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val="en-US" w:eastAsia="zh-CN" w:bidi="ar"/>
              </w:rPr>
              <w:t>项）每负偏离一项扣2.92分，评审指标中未标注符号的技术参数（共</w:t>
            </w:r>
            <w:r>
              <w:rPr>
                <w:rFonts w:hint="eastAsia" w:ascii="宋体" w:hAnsi="宋体" w:cs="宋体"/>
                <w:kern w:val="0"/>
                <w:sz w:val="24"/>
                <w:szCs w:val="24"/>
                <w:lang w:val="en-US" w:eastAsia="zh-CN" w:bidi="ar"/>
              </w:rPr>
              <w:t>77</w:t>
            </w:r>
            <w:r>
              <w:rPr>
                <w:rFonts w:hint="eastAsia" w:ascii="宋体" w:hAnsi="宋体" w:eastAsia="宋体" w:cs="宋体"/>
                <w:kern w:val="0"/>
                <w:sz w:val="24"/>
                <w:szCs w:val="24"/>
                <w:lang w:val="en-US" w:eastAsia="zh-CN" w:bidi="ar"/>
              </w:rPr>
              <w:t>项）每负偏离一项扣</w:t>
            </w:r>
            <w:r>
              <w:rPr>
                <w:rFonts w:hint="eastAsia" w:ascii="宋体" w:hAnsi="宋体" w:cs="宋体"/>
                <w:kern w:val="0"/>
                <w:sz w:val="24"/>
                <w:szCs w:val="24"/>
                <w:lang w:val="en-US" w:eastAsia="zh-CN" w:bidi="ar"/>
              </w:rPr>
              <w:t>0.4</w:t>
            </w:r>
            <w:r>
              <w:rPr>
                <w:rFonts w:hint="eastAsia" w:ascii="宋体" w:hAnsi="宋体" w:eastAsia="宋体" w:cs="宋体"/>
                <w:kern w:val="0"/>
                <w:sz w:val="24"/>
                <w:szCs w:val="24"/>
                <w:lang w:val="en-US" w:eastAsia="zh-CN" w:bidi="ar"/>
              </w:rPr>
              <w:t>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满分</w:t>
            </w:r>
            <w:r>
              <w:rPr>
                <w:rFonts w:hint="eastAsia" w:ascii="宋体" w:hAnsi="宋体" w:cs="宋体"/>
                <w:kern w:val="0"/>
                <w:sz w:val="24"/>
                <w:szCs w:val="24"/>
                <w:lang w:val="en-US" w:eastAsia="zh-CN" w:bidi="ar"/>
              </w:rPr>
              <w:t>60</w:t>
            </w:r>
            <w:r>
              <w:rPr>
                <w:rFonts w:hint="eastAsia" w:ascii="宋体" w:hAnsi="宋体" w:eastAsia="宋体" w:cs="宋体"/>
                <w:kern w:val="0"/>
                <w:sz w:val="24"/>
                <w:szCs w:val="24"/>
                <w:lang w:val="en-US" w:eastAsia="zh-CN" w:bidi="ar"/>
              </w:rPr>
              <w:t>分）</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商务项（F3×A3）满分为10.00分</w:t>
      </w:r>
    </w:p>
    <w:tbl>
      <w:tblPr>
        <w:tblStyle w:val="6"/>
        <w:tblW w:w="991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900"/>
        <w:gridCol w:w="79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项目</w:t>
            </w:r>
          </w:p>
        </w:tc>
        <w:tc>
          <w:tcPr>
            <w:tcW w:w="90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分值</w:t>
            </w:r>
          </w:p>
        </w:tc>
        <w:tc>
          <w:tcPr>
            <w:tcW w:w="7904"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sz w:val="24"/>
                <w:szCs w:val="24"/>
              </w:rPr>
            </w:pPr>
            <w:r>
              <w:rPr>
                <w:rFonts w:hint="eastAsia" w:ascii="宋体" w:hAnsi="宋体" w:eastAsia="宋体" w:cs="宋体"/>
                <w:kern w:val="0"/>
                <w:sz w:val="24"/>
                <w:szCs w:val="24"/>
                <w:lang w:val="en-US" w:eastAsia="zh-CN" w:bidi="ar"/>
              </w:rPr>
              <w:t>B1、技术培训方案</w:t>
            </w:r>
          </w:p>
        </w:tc>
        <w:tc>
          <w:tcPr>
            <w:tcW w:w="90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right"/>
              <w:textAlignment w:val="auto"/>
              <w:rPr>
                <w:sz w:val="24"/>
                <w:szCs w:val="24"/>
              </w:rPr>
            </w:pPr>
            <w:r>
              <w:rPr>
                <w:rFonts w:hint="eastAsia" w:ascii="宋体" w:hAnsi="宋体" w:eastAsia="宋体" w:cs="宋体"/>
                <w:kern w:val="0"/>
                <w:sz w:val="24"/>
                <w:szCs w:val="24"/>
                <w:lang w:val="en-US" w:eastAsia="zh-CN" w:bidi="ar"/>
              </w:rPr>
              <w:t>2.00</w:t>
            </w:r>
          </w:p>
        </w:tc>
        <w:tc>
          <w:tcPr>
            <w:tcW w:w="790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sz w:val="24"/>
                <w:szCs w:val="24"/>
              </w:rPr>
            </w:pPr>
            <w:r>
              <w:rPr>
                <w:rFonts w:hint="eastAsia" w:ascii="宋体" w:hAnsi="宋体" w:eastAsia="宋体" w:cs="宋体"/>
                <w:kern w:val="0"/>
                <w:sz w:val="24"/>
                <w:szCs w:val="24"/>
                <w:lang w:val="en-US" w:eastAsia="zh-CN" w:bidi="ar"/>
              </w:rPr>
              <w:t>根据各投标人提供的针对本项目制定的现场技术培训方案情况进行评分，现场技术培训方案包含：①培训计划；②培训范围；③实施及针对性措施；④保证培训成效的措施，现场技术培训方案包含上述全部内容的得2分，现场技术培训方案中仅包含部分上述内容的得1分，未提供的本项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B2、业绩</w:t>
            </w:r>
          </w:p>
        </w:tc>
        <w:tc>
          <w:tcPr>
            <w:tcW w:w="90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right"/>
              <w:textAlignment w:val="auto"/>
              <w:rPr>
                <w:b/>
                <w:sz w:val="24"/>
                <w:szCs w:val="24"/>
              </w:rPr>
            </w:pPr>
            <w:r>
              <w:rPr>
                <w:rFonts w:hint="eastAsia" w:ascii="宋体" w:hAnsi="宋体" w:eastAsia="宋体" w:cs="宋体"/>
                <w:kern w:val="0"/>
                <w:sz w:val="24"/>
                <w:szCs w:val="24"/>
                <w:lang w:val="en-US" w:eastAsia="zh-CN" w:bidi="ar"/>
              </w:rPr>
              <w:t>3.00</w:t>
            </w:r>
          </w:p>
        </w:tc>
        <w:tc>
          <w:tcPr>
            <w:tcW w:w="790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据投标人提供至本项目投标截止时间止(日期以合同签订时间为准)类似产品在中国境内的销售业绩情况进行评分：每提供一份业绩得1分，满分3分。投标人应如实提供该业绩项目的中标/成交公告（提供相关网站中标/成交公告的下载网页并注明网址）、中标/成交通知书复印件、采购合同文本复印件，以及能够证明该业绩项目已经采购人验收合格的相关证明文件复印件，未完整提供上述相关证明材料的本项不得分；评标过程中如发现填报不实，本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B3、售后服务情况</w:t>
            </w:r>
          </w:p>
        </w:tc>
        <w:tc>
          <w:tcPr>
            <w:tcW w:w="90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right"/>
              <w:textAlignment w:val="auto"/>
              <w:rPr>
                <w:b/>
                <w:sz w:val="24"/>
                <w:szCs w:val="24"/>
              </w:rPr>
            </w:pPr>
            <w:r>
              <w:rPr>
                <w:rFonts w:hint="eastAsia" w:ascii="宋体" w:hAnsi="宋体" w:eastAsia="宋体" w:cs="宋体"/>
                <w:kern w:val="0"/>
                <w:sz w:val="24"/>
                <w:szCs w:val="24"/>
                <w:lang w:val="en-US" w:eastAsia="zh-CN" w:bidi="ar"/>
              </w:rPr>
              <w:t>2.00</w:t>
            </w:r>
          </w:p>
        </w:tc>
        <w:tc>
          <w:tcPr>
            <w:tcW w:w="790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根据各投标人提供的售后服务响应方案进行评分，售后服务响应方案包括①具体的售后服务内容②售后服务机构设置的便捷性③故障响应方式、时间，承诺维修人员到达现场时间等方面，售后服务响应方案包含上述全部内容的得2分，售后服务响应方案中仅包含部分上述内容的得1分，未提供的本项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B4、保修期</w:t>
            </w:r>
          </w:p>
        </w:tc>
        <w:tc>
          <w:tcPr>
            <w:tcW w:w="90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right"/>
              <w:textAlignment w:val="auto"/>
              <w:rPr>
                <w:b/>
                <w:sz w:val="24"/>
                <w:szCs w:val="24"/>
              </w:rPr>
            </w:pPr>
            <w:r>
              <w:rPr>
                <w:rFonts w:hint="eastAsia" w:ascii="宋体" w:hAnsi="宋体" w:eastAsia="宋体" w:cs="宋体"/>
                <w:kern w:val="0"/>
                <w:sz w:val="24"/>
                <w:szCs w:val="24"/>
                <w:lang w:val="en-US" w:eastAsia="zh-CN" w:bidi="ar"/>
              </w:rPr>
              <w:t>3.00</w:t>
            </w:r>
          </w:p>
        </w:tc>
        <w:tc>
          <w:tcPr>
            <w:tcW w:w="790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jc w:val="left"/>
              <w:textAlignment w:val="auto"/>
              <w:rPr>
                <w:b/>
                <w:sz w:val="24"/>
                <w:szCs w:val="24"/>
              </w:rPr>
            </w:pPr>
            <w:r>
              <w:rPr>
                <w:rFonts w:hint="eastAsia" w:ascii="宋体" w:hAnsi="宋体" w:eastAsia="宋体" w:cs="宋体"/>
                <w:kern w:val="0"/>
                <w:sz w:val="24"/>
                <w:szCs w:val="24"/>
                <w:lang w:val="en-US" w:eastAsia="zh-CN" w:bidi="ar"/>
              </w:rPr>
              <w:t>根据各投标人提供的质保期时间承诺情况进行评分，满足招标文件要求的不得分，在不增加费用的情况下，每增加一年加1.5分，满分3分，其余不得分。（满分3分）</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加分项（F4×A4）</w:t>
      </w:r>
    </w:p>
    <w:tbl>
      <w:tblPr>
        <w:tblStyle w:val="6"/>
        <w:tblW w:w="991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5"/>
        <w:gridCol w:w="1050"/>
        <w:gridCol w:w="73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项目</w:t>
            </w:r>
          </w:p>
        </w:tc>
        <w:tc>
          <w:tcPr>
            <w:tcW w:w="1050"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分值</w:t>
            </w:r>
          </w:p>
        </w:tc>
        <w:tc>
          <w:tcPr>
            <w:tcW w:w="7396"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5"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节能、环境标志产品</w:t>
            </w:r>
          </w:p>
        </w:tc>
        <w:tc>
          <w:tcPr>
            <w:tcW w:w="1050" w:type="dxa"/>
          </w:tcPr>
          <w:p>
            <w:pPr>
              <w:pStyle w:val="10"/>
              <w:keepNext w:val="0"/>
              <w:keepLines w:val="0"/>
              <w:pageBreakBefore w:val="0"/>
              <w:widowControl/>
              <w:kinsoku/>
              <w:wordWrap/>
              <w:overflowPunct/>
              <w:topLinePunct w:val="0"/>
              <w:autoSpaceDE/>
              <w:autoSpaceDN/>
              <w:bidi w:val="0"/>
              <w:adjustRightInd/>
              <w:snapToGrid/>
              <w:spacing w:line="400" w:lineRule="atLeast"/>
              <w:jc w:val="right"/>
              <w:textAlignment w:val="auto"/>
              <w:rPr>
                <w:sz w:val="24"/>
                <w:szCs w:val="24"/>
              </w:rPr>
            </w:pPr>
            <w:r>
              <w:rPr>
                <w:b/>
                <w:sz w:val="24"/>
                <w:szCs w:val="24"/>
              </w:rPr>
              <w:t>6.80</w:t>
            </w:r>
          </w:p>
        </w:tc>
        <w:tc>
          <w:tcPr>
            <w:tcW w:w="7396" w:type="dxa"/>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采用综合评分法时，若同一合同包内的节能（非强制类）、环境标志产品报价总金额低于本合同包报价总金额20%（含20%）以下的，将给予价格评标项和技术评标项标准总分值4％的加分；若同一合同包内的节能（非强制类）、环境标志产品报价总金额占本合同包报价总金额20%-50%（含50%）的，给予价格评标项标准总分值6%的加分和技术评标项标准总分值6%的加分；若同一合同包内的节能（非强制类）、环境标志产品报价总金额占本合同包报价总金额50%以上，给予价格评标项标准总分值8%的加分和技术评标项标准总分值8%的加分。投标人在投标报价时必须对节能（非强制类）、环境标志产品单独分项报价（产品统计表见本文件最后章节格式)，并于投标文件中提供属于节能（非强制类）、环境标志产品的证明资料（国家确定的认证机构出具的、处于有效期之内的产品认证证书复印件），上述文件在报价部分提供(应上传在对应评分模块)。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同一品目中各认证证书不重复计算加分。属于政府强制采购的节能产品不享受加分。</w:t>
            </w:r>
          </w:p>
        </w:tc>
      </w:tr>
    </w:tbl>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（4）中标候选人排列规则顺序如下：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8、其他规定</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8.1评标应全程保密且不得透露给任一投标人或与评标工作无关的人员。</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8.2评标将进行全程实时录音录像，录音录像资料随采购文件一并存档。</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b/>
          <w:sz w:val="24"/>
          <w:szCs w:val="24"/>
        </w:rPr>
        <w:t>8.4其他：无</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r>
        <w:rPr>
          <w:b/>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第五章 招标内容及要求</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b/>
          <w:sz w:val="24"/>
          <w:szCs w:val="24"/>
        </w:rPr>
      </w:pPr>
      <w:r>
        <w:rPr>
          <w:b/>
          <w:sz w:val="24"/>
          <w:szCs w:val="24"/>
        </w:rPr>
        <w:t>一、项目概况（采购标的）</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的医疗设备为福建医科大学附属第一医院超声医学科彩色多普勒超声诊断系统一批。该设备应具有配置齐全、性能稳定、操作简便安全，具良好的升级能力，适用临床、科研、教学，并满足将来扩展临床应用领域的需要。希投标方提供贵公司近年最新的设备，且需配备完整。</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二、技术和服务要求（以“★”标示的内容为不允许负偏离的实质性要求）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品目号1-1、</w:t>
      </w:r>
      <w:r>
        <w:rPr>
          <w:rFonts w:hint="eastAsia" w:ascii="宋体" w:hAnsi="宋体" w:eastAsia="宋体" w:cs="宋体"/>
          <w:b/>
          <w:bCs/>
          <w:sz w:val="24"/>
          <w:szCs w:val="24"/>
          <w:highlight w:val="none"/>
        </w:rPr>
        <w:t>实时四维心血管彩色多普勒超声波诊断仪</w:t>
      </w:r>
      <w:r>
        <w:rPr>
          <w:rFonts w:hint="eastAsia" w:ascii="宋体" w:hAnsi="宋体" w:eastAsia="宋体" w:cs="宋体"/>
          <w:b/>
          <w:bCs/>
          <w:sz w:val="24"/>
          <w:szCs w:val="24"/>
          <w:highlight w:val="none"/>
          <w:lang w:val="en-US" w:eastAsia="zh-CN"/>
        </w:rPr>
        <w:t>1套</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设备用途及说明：以成人心脏、小儿心脏、新生儿心脏和胎儿心脏超声临床诊断应用和相关科研为主，支持实时二维和四维经胸和经食管超声心动图成像，覆盖外周血管、腹部、妇产科/盆腔、泌尿系统和前列腺、浅表组织与小器官、儿科、经颅超声、肌骨、体腔超声(经阴道/经直肠)、术中介入超声等检查全面应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彩色多普勒超声波诊断仪包括：</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2.1 </w:t>
      </w:r>
      <w:r>
        <w:rPr>
          <w:rFonts w:hint="eastAsia" w:ascii="宋体" w:hAnsi="宋体" w:eastAsia="宋体" w:cs="宋体"/>
          <w:sz w:val="24"/>
          <w:szCs w:val="24"/>
          <w:highlight w:val="none"/>
        </w:rPr>
        <w:t>具备≥22英寸医用高分辨率显示器，分辨率≥1920×1080</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2.2 </w:t>
      </w:r>
      <w:r>
        <w:rPr>
          <w:rFonts w:hint="eastAsia" w:ascii="宋体" w:hAnsi="宋体" w:eastAsia="宋体" w:cs="宋体"/>
          <w:sz w:val="24"/>
          <w:szCs w:val="24"/>
          <w:highlight w:val="none"/>
        </w:rPr>
        <w:t>具备≥12英寸超高分辨率、多点触控彩色触摸屏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2.3 </w:t>
      </w:r>
      <w:r>
        <w:rPr>
          <w:rFonts w:hint="eastAsia" w:ascii="宋体" w:hAnsi="宋体" w:eastAsia="宋体" w:cs="宋体"/>
          <w:sz w:val="24"/>
          <w:szCs w:val="24"/>
          <w:highlight w:val="none"/>
        </w:rPr>
        <w:t>具备电动控制操作平台，可在上下/左右/前后范围内灵活调节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2.4 </w:t>
      </w:r>
      <w:r>
        <w:rPr>
          <w:rFonts w:hint="eastAsia" w:ascii="宋体" w:hAnsi="宋体" w:eastAsia="宋体" w:cs="宋体"/>
          <w:sz w:val="24"/>
          <w:szCs w:val="24"/>
          <w:highlight w:val="none"/>
        </w:rPr>
        <w:t>具备原始数据处理能力：能对存储后的动静态图像进行增益、彩色显示、多普勒基线位置、时间轴快慢以及多普勒角度校正等参数的调节。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2.5 </w:t>
      </w:r>
      <w:r>
        <w:rPr>
          <w:rFonts w:hint="eastAsia" w:ascii="宋体" w:hAnsi="宋体" w:eastAsia="宋体" w:cs="宋体"/>
          <w:sz w:val="24"/>
          <w:szCs w:val="24"/>
          <w:highlight w:val="none"/>
        </w:rPr>
        <w:t>具备超声信号动态宽波束发射与接收系统，采用整场空间像素成像原理成像，一次性成像，无需调节焦点位置和数目，图像区域无聚焦点或聚焦带。</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2.6 </w:t>
      </w:r>
      <w:r>
        <w:rPr>
          <w:rFonts w:hint="eastAsia" w:ascii="宋体" w:hAnsi="宋体" w:eastAsia="宋体" w:cs="宋体"/>
          <w:sz w:val="24"/>
          <w:szCs w:val="24"/>
          <w:highlight w:val="none"/>
        </w:rPr>
        <w:t>具备智能像素优化技术：提高图像整体空间分辨率、对比分辨率和信噪比。</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2.7 </w:t>
      </w:r>
      <w:r>
        <w:rPr>
          <w:rFonts w:hint="eastAsia" w:ascii="宋体" w:hAnsi="宋体" w:eastAsia="宋体" w:cs="宋体"/>
          <w:sz w:val="24"/>
          <w:szCs w:val="24"/>
          <w:highlight w:val="none"/>
        </w:rPr>
        <w:t>具备特殊探头技术：具有面阵技术、声能放大、单晶体以及精准温控探头技术</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2.8 </w:t>
      </w:r>
      <w:r>
        <w:rPr>
          <w:rFonts w:hint="eastAsia" w:ascii="宋体" w:hAnsi="宋体" w:eastAsia="宋体" w:cs="宋体"/>
          <w:sz w:val="24"/>
          <w:szCs w:val="24"/>
          <w:highlight w:val="none"/>
        </w:rPr>
        <w:t>二维灰阶成像单元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2.8.1 </w:t>
      </w:r>
      <w:r>
        <w:rPr>
          <w:rFonts w:hint="eastAsia" w:ascii="宋体" w:hAnsi="宋体" w:eastAsia="宋体" w:cs="宋体"/>
          <w:sz w:val="24"/>
          <w:szCs w:val="24"/>
          <w:highlight w:val="none"/>
        </w:rPr>
        <w:t>所有探头均为宽频、多点变频探头，基波频率、基波与谐波成像频率必须具体在屏幕上显示。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2.8.2 </w:t>
      </w:r>
      <w:r>
        <w:rPr>
          <w:rFonts w:hint="eastAsia" w:ascii="宋体" w:hAnsi="宋体" w:eastAsia="宋体" w:cs="宋体"/>
          <w:sz w:val="24"/>
          <w:szCs w:val="24"/>
          <w:highlight w:val="none"/>
        </w:rPr>
        <w:t>具备超清斑点噪声抑制技术，支持二维和四维模式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2.8.3 </w:t>
      </w:r>
      <w:r>
        <w:rPr>
          <w:rFonts w:hint="eastAsia" w:ascii="宋体" w:hAnsi="宋体" w:eastAsia="宋体" w:cs="宋体"/>
          <w:sz w:val="24"/>
          <w:szCs w:val="24"/>
          <w:highlight w:val="none"/>
        </w:rPr>
        <w:t>具备实时空间多角度复合成像，并支持彩色多普勒模式。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2.8.4 </w:t>
      </w:r>
      <w:r>
        <w:rPr>
          <w:rFonts w:hint="eastAsia" w:ascii="宋体" w:hAnsi="宋体" w:eastAsia="宋体" w:cs="宋体"/>
          <w:sz w:val="24"/>
          <w:szCs w:val="24"/>
          <w:highlight w:val="none"/>
        </w:rPr>
        <w:t>具备心肌纹理成像模式：可增强瓣膜，腱索及心肌等细节结构的显示能力，该模式可叠加彩色信号，支持实时在机激活切换，支持成人经胸二维和四维探头。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2.8.5  </w:t>
      </w:r>
      <w:r>
        <w:rPr>
          <w:rFonts w:hint="eastAsia" w:ascii="宋体" w:hAnsi="宋体" w:eastAsia="宋体" w:cs="宋体"/>
          <w:sz w:val="24"/>
          <w:szCs w:val="24"/>
          <w:highlight w:val="none"/>
        </w:rPr>
        <w:t>具备高清成像模式：通过双频率复合采集，提高组织分辨率和对比度。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2.8.6 </w:t>
      </w:r>
      <w:r>
        <w:rPr>
          <w:rFonts w:hint="eastAsia" w:ascii="宋体" w:hAnsi="宋体" w:eastAsia="宋体" w:cs="宋体"/>
          <w:sz w:val="24"/>
          <w:szCs w:val="24"/>
          <w:highlight w:val="none"/>
        </w:rPr>
        <w:t>具备复合滤波：通过复合运算，增强组织边界的显示和解剖结构的平滑度。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2.8.7 </w:t>
      </w:r>
      <w:r>
        <w:rPr>
          <w:rFonts w:hint="eastAsia" w:ascii="宋体" w:hAnsi="宋体" w:eastAsia="宋体" w:cs="宋体"/>
          <w:sz w:val="24"/>
          <w:szCs w:val="24"/>
          <w:highlight w:val="none"/>
        </w:rPr>
        <w:t>具备一键式实时自动连续优化图像技术，包括增益、对比度、侧向增益补偿。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2.8.8 </w:t>
      </w:r>
      <w:r>
        <w:rPr>
          <w:rFonts w:hint="eastAsia" w:ascii="宋体" w:hAnsi="宋体" w:eastAsia="宋体" w:cs="宋体"/>
          <w:sz w:val="24"/>
          <w:szCs w:val="24"/>
          <w:highlight w:val="none"/>
        </w:rPr>
        <w:t>具备实时宽景成像技术，可前进和后退</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2.8.9 </w:t>
      </w:r>
      <w:r>
        <w:rPr>
          <w:rFonts w:hint="eastAsia" w:ascii="宋体" w:hAnsi="宋体" w:eastAsia="宋体" w:cs="宋体"/>
          <w:sz w:val="24"/>
          <w:szCs w:val="24"/>
          <w:highlight w:val="none"/>
        </w:rPr>
        <w:t>具备梯形扩展成像技术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2.8.10 </w:t>
      </w:r>
      <w:r>
        <w:rPr>
          <w:rFonts w:hint="eastAsia" w:ascii="宋体" w:hAnsi="宋体" w:eastAsia="宋体" w:cs="宋体"/>
          <w:sz w:val="24"/>
          <w:szCs w:val="24"/>
          <w:highlight w:val="none"/>
        </w:rPr>
        <w:t>具备心尖扩展成像：相控阵心脏探头采用凸阵扩展技术，实现心尖宽视野显示。</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2.9 </w:t>
      </w:r>
      <w:r>
        <w:rPr>
          <w:rFonts w:hint="eastAsia" w:ascii="宋体" w:hAnsi="宋体" w:eastAsia="宋体" w:cs="宋体"/>
          <w:sz w:val="24"/>
          <w:szCs w:val="24"/>
          <w:highlight w:val="none"/>
        </w:rPr>
        <w:t>彩色血流成像单元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2.9.1 </w:t>
      </w:r>
      <w:r>
        <w:rPr>
          <w:rFonts w:hint="eastAsia" w:ascii="宋体" w:hAnsi="宋体" w:eastAsia="宋体" w:cs="宋体"/>
          <w:sz w:val="24"/>
          <w:szCs w:val="24"/>
          <w:highlight w:val="none"/>
        </w:rPr>
        <w:t>具有二维彩色模式、四维彩色模式、能量图模式、速度方差模式、彩色M型模式等多种模式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2.9.2 </w:t>
      </w:r>
      <w:r>
        <w:rPr>
          <w:rFonts w:hint="eastAsia" w:ascii="宋体" w:hAnsi="宋体" w:eastAsia="宋体" w:cs="宋体"/>
          <w:sz w:val="24"/>
          <w:szCs w:val="24"/>
          <w:highlight w:val="none"/>
        </w:rPr>
        <w:t>具备具体彩色多普勒频率显示，并独立分级可调，≥8级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2.9.3 </w:t>
      </w:r>
      <w:r>
        <w:rPr>
          <w:rFonts w:hint="eastAsia" w:ascii="宋体" w:hAnsi="宋体" w:eastAsia="宋体" w:cs="宋体"/>
          <w:sz w:val="24"/>
          <w:szCs w:val="24"/>
          <w:highlight w:val="none"/>
        </w:rPr>
        <w:t>具备二维和彩色同步双幅实时显示，亦可应用于冻结和存储的回放图像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2.9.4 </w:t>
      </w:r>
      <w:r>
        <w:rPr>
          <w:rFonts w:hint="eastAsia" w:ascii="宋体" w:hAnsi="宋体" w:eastAsia="宋体" w:cs="宋体"/>
          <w:sz w:val="24"/>
          <w:szCs w:val="24"/>
          <w:highlight w:val="none"/>
        </w:rPr>
        <w:t>具备组织内彩色优先显示功能，以显示组织内低速血流</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2.9.5 </w:t>
      </w:r>
      <w:r>
        <w:rPr>
          <w:rFonts w:hint="eastAsia" w:ascii="宋体" w:hAnsi="宋体" w:eastAsia="宋体" w:cs="宋体"/>
          <w:sz w:val="24"/>
          <w:szCs w:val="24"/>
          <w:highlight w:val="none"/>
        </w:rPr>
        <w:t>具备彩色去除功能，能在实时、冻结、存储的图像上独立去除彩色信号。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2.9.6 </w:t>
      </w:r>
      <w:r>
        <w:rPr>
          <w:rFonts w:hint="eastAsia" w:ascii="宋体" w:hAnsi="宋体" w:eastAsia="宋体" w:cs="宋体"/>
          <w:sz w:val="24"/>
          <w:szCs w:val="24"/>
          <w:highlight w:val="none"/>
        </w:rPr>
        <w:t>具备在冻结和回放的彩色模式下，再次调节彩色图谱、编码方式、方差模式、彩色/组织优先、彩色增益、彩色反转、彩色基线、彩色叠加等多项参数，应用于诊断。</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2.9.7 </w:t>
      </w:r>
      <w:r>
        <w:rPr>
          <w:rFonts w:hint="eastAsia" w:ascii="宋体" w:hAnsi="宋体" w:eastAsia="宋体" w:cs="宋体"/>
          <w:sz w:val="24"/>
          <w:szCs w:val="24"/>
          <w:highlight w:val="none"/>
        </w:rPr>
        <w:t>具备彩色帧频独立调节能力</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2.9.8 </w:t>
      </w:r>
      <w:r>
        <w:rPr>
          <w:rFonts w:hint="eastAsia" w:ascii="宋体" w:hAnsi="宋体" w:eastAsia="宋体" w:cs="宋体"/>
          <w:sz w:val="24"/>
          <w:szCs w:val="24"/>
          <w:highlight w:val="none"/>
        </w:rPr>
        <w:t>具备二维灰阶血流显像：非多普勒原理，直接提取微弱的血细胞回声进行成像。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2.9.9 </w:t>
      </w:r>
      <w:r>
        <w:rPr>
          <w:rFonts w:hint="eastAsia" w:ascii="宋体" w:hAnsi="宋体" w:eastAsia="宋体" w:cs="宋体"/>
          <w:sz w:val="24"/>
          <w:szCs w:val="24"/>
          <w:highlight w:val="none"/>
        </w:rPr>
        <w:t>具备方向性灰阶血流显像：基于灰阶血流信号，同时提供彩色血流方向性显示。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2.9.10 </w:t>
      </w:r>
      <w:r>
        <w:rPr>
          <w:rFonts w:hint="eastAsia" w:ascii="宋体" w:hAnsi="宋体" w:eastAsia="宋体" w:cs="宋体"/>
          <w:sz w:val="24"/>
          <w:szCs w:val="24"/>
          <w:highlight w:val="none"/>
        </w:rPr>
        <w:t>具备内置原厂冠脉血流显像软件，能有效去除心腔彩色噪音，显示冠脉血流。</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2.9.11 </w:t>
      </w:r>
      <w:r>
        <w:rPr>
          <w:rFonts w:hint="eastAsia" w:ascii="宋体" w:hAnsi="宋体" w:eastAsia="宋体" w:cs="宋体"/>
          <w:sz w:val="24"/>
          <w:szCs w:val="24"/>
          <w:highlight w:val="none"/>
        </w:rPr>
        <w:t>具备血流斑点追踪成像技术：通过超高帧频成像对血细胞运动轨迹进行追踪，以线条、颜色、编码显示心腔内血流动力学的真实状态，支持小儿心脏二维探头、小儿心脏四维探头、新生儿心脏二维探头及经食道心脏四维容积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9.12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具备血流斑点追踪成像定量技术：基于血流斑点追踪成像，可对已捕捉血流信息的面积、时间及距离参数进行定量。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频谱多普勒显示单元及分析系统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具有PW、CW、HPRF、LPRF等多种模式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10.2</w:t>
      </w:r>
      <w:r>
        <w:rPr>
          <w:rFonts w:hint="eastAsia" w:ascii="宋体" w:hAnsi="宋体" w:eastAsia="宋体" w:cs="宋体"/>
          <w:sz w:val="24"/>
          <w:szCs w:val="24"/>
          <w:highlight w:val="none"/>
        </w:rPr>
        <w:tab/>
      </w:r>
      <w:r>
        <w:rPr>
          <w:rFonts w:hint="eastAsia" w:ascii="宋体" w:hAnsi="宋体" w:eastAsia="宋体" w:cs="宋体"/>
          <w:sz w:val="24"/>
          <w:szCs w:val="24"/>
          <w:highlight w:val="none"/>
        </w:rPr>
        <w:t>HPRF高脉冲重复频率自动启动功能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多普勒频率显示、独立可调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具备自动频谱优化技术，一键控制，自动调整频谱至最佳范围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具备高性能实时双同步、三同步功能，随时可切换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具备自动角度纠正功能，以适应不同角度血管检测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具备实时扫描中的图像参数调节，包括增益、基线位置、时间轴快慢、角度校正、噪音抑制、对比度、彩色图谱等的调节，也同样能应用于已经冻结或存储后的图像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具备频谱自动分析系统：包括实时自动包络、冻结后自动包络、手动包络；自动计算各血流动力学参数，参数可根据客户需要灵活选择</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10.9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具备心脏频谱自动测量：可对心脏瓣膜彩色血流频谱及组织多普勒频谱进行多个心动周期的识别并命名，同时进行自动测量并将结果导入到报告系统（包括：E峰、A峰、EDT、E’、E/E’、AV Trace等参数）。</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12）</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组织多普勒成像单元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具备实时一键式组织速度成像、组织追踪图成像、组织同步化成像、组织应变及应变率成像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具有多普勒信号去除功能，能在实时、冻结、存储的图像上独立去除组织多普勒信号。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组织多普勒信号可直接转换为组织追踪图、组织同步化图、应变图和应变率图。</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具备在机组织多普勒同步化显像，并具有心肌同步化牛眼图。</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具备在机同时显示多个节段的心肌速度曲线、位移曲线、应变及应变率曲线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定量曲线能自动导入主动脉瓣及二尖瓣开放关闭时间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11.7</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支持实时三平面成像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13）</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组织谐波成像单元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具备编码二次谐波技术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具备编码脉冲反向谐波技术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具备谐波频率和基波频率同时显示</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14）</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超声造影成像单元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编码脉冲反向谐波技术和超声调制信号用于造影剂成像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支持左心室造影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支持血管/腹部造影成像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支持低机械指数的心肌灌注造影成像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支持经胸二维及四维探头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13.6</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支持食道矩阵容积探头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具有实时四维造影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具有三平面造影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13.9</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支持负荷超声成像下的心肌灌注造影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具备flash，机械指数可调,可心电触发和时间触发，长度可调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具有双时钟计时，存储时间长短可调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可实时前向存储、实时回放存储、编辑后存储等多种方式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具有在线及离线时间-强度曲线分析工具，能按wash-in/wash-out分析数据</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13.14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分析结果自动导入系统工作表进行存储</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15）</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负荷超声成像单元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内置专业负荷超声模块，包括运动负荷、药物负荷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可自定义编辑模板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支持自动转换所需切面、所需测量和检查阶段，自动保存频率和增益等成像条件应用于下一检查阶段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14.4</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负荷超声模块内置心肌长轴应变分析功能，在线即可实现不同负荷阶段的心肌应变大小及达峰时间离散值，提供17和18节段牛眼图显示、曲线显示模式、解剖M型显示模式等，并可同屏对照显示。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回放时自动显示基础状态下的对比图像，自动同步心动周期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14.6</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支持二维、多平面和四维成像模式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14.7</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支持造影成像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14.8</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支持经食管四维探头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可结合组织多普勒，并能定量分析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支持室壁运动评分</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14.11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内置在同步化治疗评估模板</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16）</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四维成像单元支持成人、儿童经胸容积成像探头及经食道容积成像探头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所有四维探头均需具有二维、彩色、PW、CW、M型、任意角度直线与曲线解剖M型、组织多普勒、多平面及四维、负荷超声、超声造影等全部功能模式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单心动周期全容积成像模式: 单心动周期实时90°×90°全容积成像，无需心电门控触发，无需拼接成像，该模式支持全容积彩色血流显示，且支持经胸四维成像与经食道四维成像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多心动周期全容积成像，拼接的心动周期个数可选择数≥6个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15.5</w:t>
      </w:r>
      <w:r>
        <w:rPr>
          <w:rFonts w:hint="eastAsia" w:ascii="宋体" w:hAnsi="宋体" w:eastAsia="宋体" w:cs="宋体"/>
          <w:sz w:val="24"/>
          <w:szCs w:val="24"/>
          <w:highlight w:val="none"/>
        </w:rPr>
        <w:tab/>
      </w:r>
      <w:r>
        <w:rPr>
          <w:rFonts w:hint="eastAsia" w:ascii="宋体" w:hAnsi="宋体" w:eastAsia="宋体" w:cs="宋体"/>
          <w:sz w:val="24"/>
          <w:szCs w:val="24"/>
          <w:highlight w:val="none"/>
        </w:rPr>
        <w:t>自动显示四维各标准切面图像：基于一个切面容积图像，即可一键式获取其他切面容积图像，无需手工剪切，显示切面数≥6个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15.6</w:t>
      </w:r>
      <w:r>
        <w:rPr>
          <w:rFonts w:hint="eastAsia" w:ascii="宋体" w:hAnsi="宋体" w:eastAsia="宋体" w:cs="宋体"/>
          <w:sz w:val="24"/>
          <w:szCs w:val="24"/>
          <w:highlight w:val="none"/>
        </w:rPr>
        <w:tab/>
      </w:r>
      <w:r>
        <w:rPr>
          <w:rFonts w:hint="eastAsia" w:ascii="宋体" w:hAnsi="宋体" w:eastAsia="宋体" w:cs="宋体"/>
          <w:sz w:val="24"/>
          <w:szCs w:val="24"/>
          <w:highlight w:val="none"/>
        </w:rPr>
        <w:t>智能四维视野：通过系统预设的条件，仅需一个按键，即可快速的获取二尖瓣、主动脉瓣、左心耳等结构的四维模式、四维血流模式以及多平面模式等。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四维成像角度预设值，根据不同观察部位自由选择，角度预设个数≥4个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15.8</w:t>
      </w:r>
      <w:r>
        <w:rPr>
          <w:rFonts w:hint="eastAsia" w:ascii="宋体" w:hAnsi="宋体" w:eastAsia="宋体" w:cs="宋体"/>
          <w:sz w:val="24"/>
          <w:szCs w:val="24"/>
          <w:highlight w:val="none"/>
        </w:rPr>
        <w:tab/>
      </w:r>
      <w:r>
        <w:rPr>
          <w:rFonts w:hint="eastAsia" w:ascii="宋体" w:hAnsi="宋体" w:eastAsia="宋体" w:cs="宋体"/>
          <w:sz w:val="24"/>
          <w:szCs w:val="24"/>
          <w:highlight w:val="none"/>
        </w:rPr>
        <w:t>智能四维解剖标记：以不同颜色的标记点对二维或四维图像进行解剖结构的标定后，会自动将二维图像和四维图像的同一结构进行关联，在调节容积图像的过程中，标记可随解剖结构的空间位置变化而随之移动，标记透明度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具有四维局部放大和感兴趣区取样框功能，实时双平面观察，方便局部结构成像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容积帧频可独立调节</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高帧频容积采集技术，不降低空间分辨率，而获取高帧频的容积图像。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四维空间噪音抑制，降低四维图像和基于四维的二维图像的噪音信号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四维心尖扩展成像技术，扩展心尖显示视野</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具备四维彩色模式，并灰阶与彩色比例可调，可单独显示四维彩色血流束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具备断层超声成像，具备5、7、8、12切面可选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具备实时双平面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实时三平面成像：一次扫查同时获取同一心动周期三个切面的图像，切面之间的角度任意可调，支持二维、彩色，组织多普勒等模式, 可运用于负荷超声和左室造影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15.18</w:t>
      </w:r>
      <w:r>
        <w:rPr>
          <w:rFonts w:hint="eastAsia" w:ascii="宋体" w:hAnsi="宋体" w:eastAsia="宋体" w:cs="宋体"/>
          <w:sz w:val="24"/>
          <w:szCs w:val="24"/>
          <w:highlight w:val="none"/>
        </w:rPr>
        <w:tab/>
      </w:r>
      <w:r>
        <w:rPr>
          <w:rFonts w:hint="eastAsia" w:ascii="宋体" w:hAnsi="宋体" w:eastAsia="宋体" w:cs="宋体"/>
          <w:sz w:val="24"/>
          <w:szCs w:val="24"/>
          <w:highlight w:val="none"/>
        </w:rPr>
        <w:t>任意两点剪切容积成像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15.19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实时三维以及实时三维彩色模式下，一键快速镜向反转功能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15.20</w:t>
      </w:r>
      <w:r>
        <w:rPr>
          <w:rFonts w:hint="eastAsia" w:ascii="宋体" w:hAnsi="宋体" w:eastAsia="宋体" w:cs="宋体"/>
          <w:sz w:val="24"/>
          <w:szCs w:val="24"/>
          <w:highlight w:val="none"/>
        </w:rPr>
        <w:tab/>
      </w:r>
      <w:r>
        <w:rPr>
          <w:rFonts w:hint="eastAsia" w:ascii="宋体" w:hAnsi="宋体" w:eastAsia="宋体" w:cs="宋体"/>
          <w:sz w:val="24"/>
          <w:szCs w:val="24"/>
          <w:highlight w:val="none"/>
        </w:rPr>
        <w:t>立体成像：采用红蓝偏光技术，配合偏光眼镜，立体显示心脏结构</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心脏内腔镜四维成像技术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具备四维容积渲染成像技术，可基于实时在机及脱机4D TEE或TTE数据，采用光源投照法，呈现心脏四维类解剖结构的显示，其中光源深度、光源数量（≥2个）及光源方向均可调节，按照视觉习惯将感兴趣区加亮显示，增加立体显示效果，突出显示病变部位及组织毗邻关系，可用于超声科、导管室、心外科、心内科立体显示心脏结构和介入治疗过程，支持实时和回放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具备四维容积透明血流渲染模式，可对四维容积彩色数据透明度进行调节，避免彩色血流对组织或深部血流的遮挡，可辅助操作者甄别复杂血流动力学特征。</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具备虚拟存储功能，四维容积图像编辑后可再次存储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15.25</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扫描助手功能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15.26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具有专业的啮齿类动物(如小鼠、兔子等实验动物)成像软件，可采集超高帧频心脏图像，实现基于TVI、二维图像的定量分析。</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17）</w:t>
      </w: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测量和分析： (B型、M型、频谱多普勒、彩色多普勒、心脏容积模式)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一般测量功能：直径、面积、体积、狭窄率、压差等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心脏功能测量与分析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直线解剖M型和曲线解剖M型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基于人工智能（AI），自动识别标准切面并选择图像质量最佳的心动周期进行心内膜运动轨迹的追踪，进行二维心功能测量，支持单平面和双平面计算</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在线斑点追踪定量分析: 基于人工智能（AI），可自动识别切面并选择三个质量最佳的心动周期进行心肌斑点信号的追踪，分析心肌收缩期长轴峰值应变、收缩后收缩指数、提供17和18节段牛眼图、曲线显示模式、曲线解剖M型显示模式等。并可同步显示双平面Simpson法EF值。支持在常规成人及小儿心脏探头、经食道探头、心脏容积探头上实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基于二维斑点追踪技术，可直接分析长轴心肌收缩期峰值应变达峰时间、峰值应变离散，提供17和18节段牛眼图显示，以显示和评价心肌二维同步性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具备专用二维左心房定量工具：基于斑点追踪技术，可提供左心房整体应变数值（包括：储备、管道、收缩期）及应变变化曲线，排空分数及左房容积数据（包括四腔和两腔切面）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具备专用二维右心室定量工具：基于斑点追踪技术，可提供整体应变（6节段）、游离壁应变（3节段）和三尖瓣位移TAPSE参数。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心肌做功定量分析：分析左心整体和局部的做功情况，包括做功指数、整体有效做功、整体无效做功、整体做功效率等参数。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四维自动左室定量分析：提供EDV、 ESV、EF、SV、CO等心功能分析参数。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.2.9</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三平面心肌斑点追踪技术：基于斑点追踪技术，对来自同一心动周期的三个平面进行心肌斑点追踪，分析左心室各节段的应变。</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能在容积图像上进行直线和面积测量。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.2.11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具备儿科心脏Z-score评分系统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产科测量软件包</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内置产科测量软件包，包含胎儿生长分析数据与图表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胎儿生长发育曲线显示，支持多胞胎对比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可根据用户需要选择欧洲、美国和亚洲人群的计算公式，亦可自定义公式。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包含卵巢与子宫测量报告</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测量结果自动导入主机内置工作表，并可自动生成报告输出与打印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血流测量与分析: 频谱多普勒实时自动包络，参数可自定义设定。</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血管内中膜自动测量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评审指标18</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 xml:space="preserve">4. </w:t>
      </w:r>
      <w:r>
        <w:rPr>
          <w:rFonts w:hint="eastAsia" w:ascii="宋体" w:hAnsi="宋体" w:eastAsia="宋体" w:cs="宋体"/>
          <w:sz w:val="24"/>
          <w:szCs w:val="24"/>
          <w:highlight w:val="none"/>
        </w:rPr>
        <w:t>图像存储与（电影）回放重现单元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4.1 </w:t>
      </w:r>
      <w:r>
        <w:rPr>
          <w:rFonts w:hint="eastAsia" w:ascii="宋体" w:hAnsi="宋体" w:eastAsia="宋体" w:cs="宋体"/>
          <w:sz w:val="24"/>
          <w:szCs w:val="24"/>
          <w:highlight w:val="none"/>
        </w:rPr>
        <w:t>超声图像静态、动态存储，原始数据回放重现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动态图像、静态图像以AVI、JPEG或MPEGVue格式直接存储于可移动媒介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支持压缩和高清DICOM图像传输</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在屏剪帖板和多画面同屏回放功能，不同检查日期所存的图像可以回放至同一屏幕比较分析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USB接口支持U盘或移动硬盘快速存储屏幕上的图像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评审指标19</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参考信号：心电、心音、脉搏波、心电触发</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评审指标20</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输入/输出信号: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输入：ECG, USB</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6.2 </w:t>
      </w:r>
      <w:r>
        <w:rPr>
          <w:rFonts w:hint="eastAsia" w:ascii="宋体" w:hAnsi="宋体" w:eastAsia="宋体" w:cs="宋体"/>
          <w:sz w:val="24"/>
          <w:szCs w:val="24"/>
          <w:highlight w:val="none"/>
        </w:rPr>
        <w:t>输出：DVI-D，音频，USB</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评审指标21</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图像管理与记录装置：</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内置图像管理系统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内置SSD固态硬盘存储≥1TB，其中可用于图像存储空间≥750GB</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可扩展的存储装置：大容量移动硬盘、DVD-RW、DVR等</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评审指标22</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 xml:space="preserve">8. </w:t>
      </w:r>
      <w:r>
        <w:rPr>
          <w:rFonts w:hint="eastAsia" w:ascii="宋体" w:hAnsi="宋体" w:eastAsia="宋体" w:cs="宋体"/>
          <w:sz w:val="24"/>
          <w:szCs w:val="24"/>
          <w:highlight w:val="none"/>
        </w:rPr>
        <w:t xml:space="preserve">连通性：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医学数字图像和通信DICOM3.0版接口部件，支持高清DICOM传输</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支持局域网/PACS/HIS等直接存储、查询与调阅</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支持DICOM打印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技术参数及要求：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w:t>
      </w:r>
      <w:r>
        <w:rPr>
          <w:rFonts w:hint="eastAsia" w:ascii="宋体" w:hAnsi="宋体" w:eastAsia="宋体" w:cs="宋体"/>
          <w:b/>
          <w:bCs/>
          <w:sz w:val="24"/>
          <w:szCs w:val="24"/>
          <w:highlight w:val="none"/>
          <w:lang w:val="en-US" w:eastAsia="zh-CN"/>
        </w:rPr>
        <w:t>2</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系统通用功能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操作面板具有的触摸屏能进行图管理、图像预览和动态图像播放功能、图像输出操作等。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操作面板两侧有文件放置盒、耦合剂放置区等外部设备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探头接口：激活探头接口数≥4个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触摸屏具有探头接口和探头显示功能、预设条件显示</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评审指标24</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探头规格</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频率：所配探头均为宽频带多点变频探头，频率范围1.4-18.0MHz，中心频率可选择≥4种</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二维、彩色、多普勒均可独立变频</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类型：可支持心脏矩阵探头，相控阵、凸阵、微凸阵、腔内、线阵、经食道及术中探头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B/D兼用：相控阵B/PWD/CWD，线阵B/PWD，凸阵B/PWD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探头工作频率范围:成人相控阵探头：  1.4-4.6MHz</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小儿相控阵探头：  2.4-8.0MHz</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t>新生儿相控阵探头：4.0-12.0MHz</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t>电子线阵：2.4-10.0MHz</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二维灰阶显像主要参数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成人相控阵探头扫描角度：10°-120°选择</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成像速率: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相控阵探头：90o，18cm深度时，帧速率≥100帧/秒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经胸相控阵容积探头：极限帧频≥1000 ，90°×90°、16cm深度时，帧频≥44</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经食管矩阵容积探头：极限帧频≥750</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二维灰阶成像≥256灰阶</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支持高清晰局部放大，放大时增加信息量，提高分辨率和帧频</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回放重现：灰阶图像回放≥5000幅，允许12窗口同屏回放, 多窗口时允许不同时期的图像和实时图像对比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增益调节：STC分段≥8，B/M可独立调节</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二次谐波：所配探头支持二次谐波，相控阵探头谐波数≥6组</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心脏扫描深度≥30cm</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腹部探头扫描深度≥50cm </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评审指标26</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频谱多普勒成像参数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方式： PWD, HPRF，LPRF，CWD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多普勒发射频率：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扇扫：≥八段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线阵：≥三段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凸阵：≥六段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最大测量速度：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PWD：血流速度≥7.6m/s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CWD：血流速度≥12m/s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最低测量速度：≤2mm/s(非噪声信号)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显示方式：B、M、B/M、B/M/CFI、B/D、D、B/CFI/D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4.6</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电影回放：≥90秒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零位移动：≥6级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取样宽度及位置范围：宽度1-16mm；分级可调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4.9</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显示控制：反转显示(左/右；上/下)、零移位，B—刷新(手控、时间、ECG同步)、D扩展、B/D扩展，局放及移位</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频谱自动包络并完成测量，参数可自定义，可于实时、冻结和回放图像上完成</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评审指标27</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彩色多普勒成像参数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显示方式：速度显示、能量显示、方差显示、彩色心肌速度多普勒显示、彩色心肌位移多普勒显示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5.2 </w:t>
      </w:r>
      <w:r>
        <w:rPr>
          <w:rFonts w:hint="eastAsia" w:ascii="宋体" w:hAnsi="宋体" w:eastAsia="宋体" w:cs="宋体"/>
          <w:sz w:val="24"/>
          <w:szCs w:val="24"/>
          <w:highlight w:val="none"/>
        </w:rPr>
        <w:t>实时二同步/三同步显示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彩色显示帧频：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相控阵扇扫探头、90°角，18cm深满屏显示，彩色显示帧频≥19帧/s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相控阵扇扫探头、90°角，18cm深满屏显示，彩色组织多普勒帧频≥139帧/s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显示位置调整：线阵扫描感兴趣的图像范围： -30°- +30°</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显示控制：零位移动分±10级、黑/白与彩色比较、彩色对比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5.6</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彩色显示速度：最低平均血流显示速度：≤10mm/s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实时组织多普勒速度成像、实时组织多普勒位移成像,可M型、直线解剖M型、曲线解剖M型及频谱分析。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5.8 </w:t>
      </w:r>
      <w:r>
        <w:rPr>
          <w:rFonts w:hint="eastAsia" w:ascii="宋体" w:hAnsi="宋体" w:eastAsia="宋体" w:cs="宋体"/>
          <w:sz w:val="24"/>
          <w:szCs w:val="24"/>
          <w:highlight w:val="none"/>
        </w:rPr>
        <w:t>超声功率输出调节:B/M、CWD、PWD、Color Doppler输出功率可调</w:t>
      </w:r>
    </w:p>
    <w:p>
      <w:pPr>
        <w:keepNext w:val="0"/>
        <w:keepLines w:val="0"/>
        <w:pageBreakBefore w:val="0"/>
        <w:widowControl w:val="0"/>
        <w:kinsoku/>
        <w:wordWrap/>
        <w:topLinePunct w:val="0"/>
        <w:bidi w:val="0"/>
        <w:snapToGrid/>
        <w:spacing w:line="400" w:lineRule="atLeast"/>
        <w:ind w:firstLine="482" w:firstLineChars="200"/>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评审指标28</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★6.配置清单</w:t>
      </w:r>
    </w:p>
    <w:tbl>
      <w:tblPr>
        <w:tblStyle w:val="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 号</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 置 要 求</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彩超主机</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彩色液晶显示器</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液晶触摸屏</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全域聚焦，软波束成像平台</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实时四维成像功能</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高帧频四维容积成像技术</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线阵探头</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成人相控阵探头</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小儿相控阵探头</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69"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新生儿相控阵探头</w:t>
            </w:r>
          </w:p>
        </w:tc>
        <w:tc>
          <w:tcPr>
            <w:tcW w:w="1922"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品目号1-2、</w:t>
      </w:r>
      <w:r>
        <w:rPr>
          <w:rFonts w:hint="eastAsia" w:ascii="宋体" w:hAnsi="宋体" w:eastAsia="宋体" w:cs="宋体"/>
          <w:sz w:val="24"/>
          <w:szCs w:val="24"/>
          <w:highlight w:val="none"/>
        </w:rPr>
        <w:t>心血管彩色多普勒超声波诊断仪一套</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评审指标29</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1. </w:t>
      </w:r>
      <w:r>
        <w:rPr>
          <w:rFonts w:hint="eastAsia" w:ascii="宋体" w:hAnsi="宋体" w:eastAsia="宋体" w:cs="宋体"/>
          <w:sz w:val="24"/>
          <w:szCs w:val="24"/>
          <w:highlight w:val="none"/>
        </w:rPr>
        <w:t>设备用途及说明：以成人心脏、小儿心脏、新生儿心脏和胎儿心脏超声临床诊断应用和相关科研为主，支持经胸和经食管超声心动图成像，覆盖外周血管、腹部、妇产科/盆腔、泌尿系统和前列腺、浅表组织与小器官、儿科、经颅超声、肌骨、体腔超声(经阴道/经直肠)、术中介入超声等检查全面应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彩色多普勒超声波诊断仪包括：</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评审指标30</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具备≥22英寸医用高分辨率显示器，分辨率≥1920×1080</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评审指标31</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具备≥12英寸超高分辨率、多点触控彩色触摸屏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评审指标32</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具备电动控制操作平台，可在上下/左右/前后范围内灵活调节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评审指标33</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具备原始数据处理能力：能对存储后的动静态图像进行增益、彩色显示、多普勒基线位置、时间轴快慢以及多普勒角度校正等参数的调节。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评审指标34</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具备超声信号动态宽波束发射与接收系统，采用整场空间像素成像原理成像，一次性成像，无需调节焦点位置和数目，图像区域无聚焦点或聚焦带。</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评审指标35</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具备智能像素优化技术：提高图像整体空间分辨率、对比分辨率和信噪比。</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评审指标36</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2.7 </w:t>
      </w:r>
      <w:r>
        <w:rPr>
          <w:rFonts w:hint="eastAsia" w:ascii="宋体" w:hAnsi="宋体" w:eastAsia="宋体" w:cs="宋体"/>
          <w:sz w:val="24"/>
          <w:szCs w:val="24"/>
          <w:highlight w:val="none"/>
        </w:rPr>
        <w:t>具备特殊探头技术：具有面阵技术、声能放大、单晶体以及精准温控探头技术</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评审指标37</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2.8 </w:t>
      </w:r>
      <w:r>
        <w:rPr>
          <w:rFonts w:hint="eastAsia" w:ascii="宋体" w:hAnsi="宋体" w:eastAsia="宋体" w:cs="宋体"/>
          <w:sz w:val="24"/>
          <w:szCs w:val="24"/>
          <w:highlight w:val="none"/>
        </w:rPr>
        <w:t>二维灰阶成像单元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所有探头均为宽频、多点变频探头，基波频率、基波与谐波成像频率必须具体在屏幕上显示。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具备超清斑点噪声抑制技术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具备实时空间多角度复合成像，并支持彩色多普勒模式。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具备心肌纹理成像模式：可增强瓣膜，腱索及心肌等细节结构的显示能力，该模式可叠加彩色信号，支持实时在机激活切换。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具备高清成像模式：通过双频率复合采集，提高组织分辨率和对比度。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具备复合滤波：通过复合运算，增强组织边界的显示和解剖结构的平滑度。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具备一键式实时自动连续优化图像技术，包括增益、对比度、侧向增益补偿。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具备实时宽景成像技术，可前进和后退</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具备梯形扩展成像技术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具备心尖扩展成像：相控阵心脏探头采用凸阵扩展技术，实现心尖宽视野显示。</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评审指标38</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2.9 </w:t>
      </w:r>
      <w:r>
        <w:rPr>
          <w:rFonts w:hint="eastAsia" w:ascii="宋体" w:hAnsi="宋体" w:eastAsia="宋体" w:cs="宋体"/>
          <w:sz w:val="24"/>
          <w:szCs w:val="24"/>
          <w:highlight w:val="none"/>
        </w:rPr>
        <w:t>彩色血流成像单元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具有二维彩色模式、能量图模式、速度方差模式、彩色M型模式等多种模式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具备具体彩色多普勒频率显示，并独立分级可调，≥8级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具备二维和彩色同步双幅实时显示，亦可应用于冻结和存储的回放图像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具备组织内彩色优先显示功能，以显示组织内低速血流</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具备彩色去除功能，能在实时、冻结、存储的图像上独立去除彩色信号。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具备在冻结和回放的彩色模式下，再次调节彩色图谱、编码方式、方差模式、彩色/组织优先、彩色增益、彩色反转、彩色基线、彩色叠加等多项参数，应用于诊断。</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具备彩色帧频独立调节能力</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具备二维灰阶血流显像：非多普勒原理，直接提取微弱的血细胞回声进行成像。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具备方向性灰阶血流显像：基于灰阶血流信号，同时提供彩色血流方向性显示。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具备内置原厂冠脉血流显像软件，能有效去除心腔彩色噪音，显示冠脉血流。</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具备血流斑点追踪成像技术：通过超高帧频成像对血细胞运动轨迹进行追踪，以线条、颜色、编码显示心腔内血流动力学的真实状态，支持小儿心脏二维探头、新生儿心脏二维探头及经食道心脏容积探头。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具备血流斑点追踪成像定量技术：基于血流斑点追踪成像，可对已捕捉血流信息的面积、时间及距离参数进行定量。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评审指标39</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频谱多普勒显示单元及分析系统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具有PW、CW、HPRF、LPRF等多种模式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10.2</w:t>
      </w:r>
      <w:r>
        <w:rPr>
          <w:rFonts w:hint="eastAsia" w:ascii="宋体" w:hAnsi="宋体" w:eastAsia="宋体" w:cs="宋体"/>
          <w:sz w:val="24"/>
          <w:szCs w:val="24"/>
          <w:highlight w:val="none"/>
        </w:rPr>
        <w:tab/>
      </w:r>
      <w:r>
        <w:rPr>
          <w:rFonts w:hint="eastAsia" w:ascii="宋体" w:hAnsi="宋体" w:eastAsia="宋体" w:cs="宋体"/>
          <w:sz w:val="24"/>
          <w:szCs w:val="24"/>
          <w:highlight w:val="none"/>
        </w:rPr>
        <w:t>HPRF高脉冲重复频率自动启动功能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多普勒频率显示、独立可调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具备自动频谱优化技术，一键控制，自动调整频谱至最佳范围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具备高性能实时双同步、三同步功能，随时可切换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具备自动角度纠正功能，以适应不同角度血管检测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具备实时扫描中的图像参数调节，包括增益、基线位置、时间轴快慢、角度校正、噪音抑制、对比度、彩色图谱等的调节，也同样能应用于已经冻结或存储后的图像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具备频谱自动分析系统：包括实时自动包络、冻结后自动包络、手动包络；自动计算各血流动力学参数，参数可根据客户需要灵活选择</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具备心脏频谱自动测量：可对心脏瓣膜彩色血流频谱及组织多普勒频谱进行多个心动周期的识别并命名，同时进行自动测量并将结果导入到报告系统（包括：E峰、A峰、EDT、E’、E/E’、AV Trace等参数）。</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评审指标40</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组织多普勒成像单元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具备实时一键式组织速度成像、组织追踪图成像、组织同步化成像、组织应变及应变率成像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具有多普勒信号去除功能，能在实时、冻结、存储的图像上独立去除组织多普勒信号。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组织多普勒信号可直接转换为组织追踪图、组织同步化图、应变图和应变率图。</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具备在机组织多普勒同步化显像，并具有心肌同步化牛眼图。</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具备在机同时显示多个节段的心肌速度曲线、位移曲线、应变及应变率曲线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11.6</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定量曲线能自动导入主动脉瓣及二尖瓣开放关闭时间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11.7</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支持实时三平面成像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评审指标41</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组织谐波成像单元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具备编码二次谐波技术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具备编码脉冲反向谐波技术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具备谐波频率和基波频率同时显示</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评审指标42</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超声造影成像单元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编码脉冲反向谐波技术和超声调制信号用于造影剂成像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支持左心室造影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支持血管/腹部造影成像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支持低机械指数的心肌灌注造影成像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支持经胸心脏相控阵探头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13.6</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支持食道矩阵容积探头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13.7</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可支持实时三平面造影</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具备flash，机械指数可调,可心电触发和时间触发，长度可调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13.9</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具有双时钟计时，存储时间长短可调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可实时前向存储、实时回放存储、编辑后存储等多种方式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具有在线及离线时间-强度曲线分析工具，能按wash-in/wash-out分析数据</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分析结果自动导入系统工作表进行存储</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评审指标43</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测量和分析： (B型、M型、频谱多普勒、彩色多普勒模式)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一般测量功能：直径、面积、体积、狭窄率、压差等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心脏功能测量与分析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直线解剖M型和曲线解剖M型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基于人工智能（AI），自动识别标准切面并选择图像质量最佳的心动周期进行心内膜运动轨迹的追踪，进行二维心功能测量，支持单平面和双平面计算</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在线斑点追踪定量分析: 基于人工智能（AI），可自动识别切面并选择三个质量最佳的心动周期进行心肌斑点信号的追踪，分析心肌收缩期长轴峰值应变、收缩后收缩指数、提供17和18节段牛眼图、曲线显示模式、曲线解剖M型显示模式等。并可同步显示双平面Simpson法EF值。支持在常规成人及小儿心脏探头、经食道探头、心脏容积探头上实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基于二维斑点追踪技术，可直接分析长轴心肌收缩期峰值应变达峰时间、峰值应变离散，提供17和18节段牛眼图显示，以显示和评价心肌二维同步性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具备专用二维左心房定量工具：基于斑点追踪技术，可提供左心房整体应变数值（包括：储备、管道、收缩期）及应变变化曲线，排空分数及左房容积数据（包括四腔和两腔切面）</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2.6</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具备专用二维右心室定量工具：基于斑点追踪技术，可提供整体应变（6节段）、游离壁应变（3节段）和三尖瓣位移TAPSE参数。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2.7</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心肌做功定量分析：分析左心整体和局部的做功情况，包括做功指数、整体有效做功、整体无效做功、整体做功效率等参数。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2.8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具备儿科心脏Z-score评分系统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产科测量软件包</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内置产科测量软件包，包含胎儿生长分析数据与图表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胎儿生长发育曲线显示，支持多胞胎对比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可根据用户需要选择欧洲、美国和亚洲人群的计算公式，亦可自定义公式。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包含卵巢与子宫测量报告</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测量结果自动导入主机内置工作表，并可自动生成报告输出与打印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3.4 </w:t>
      </w:r>
      <w:r>
        <w:rPr>
          <w:rFonts w:hint="eastAsia" w:ascii="宋体" w:hAnsi="宋体" w:eastAsia="宋体" w:cs="宋体"/>
          <w:sz w:val="24"/>
          <w:szCs w:val="24"/>
          <w:highlight w:val="none"/>
        </w:rPr>
        <w:t>血流测量与分析: 频谱多普勒实时自动包络，参数可自定义设定。</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3.5 </w:t>
      </w:r>
      <w:r>
        <w:rPr>
          <w:rFonts w:hint="eastAsia" w:ascii="宋体" w:hAnsi="宋体" w:eastAsia="宋体" w:cs="宋体"/>
          <w:sz w:val="24"/>
          <w:szCs w:val="24"/>
          <w:highlight w:val="none"/>
        </w:rPr>
        <w:t>血管内中膜自动测量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评审指标44</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4. </w:t>
      </w:r>
      <w:r>
        <w:rPr>
          <w:rFonts w:hint="eastAsia" w:ascii="宋体" w:hAnsi="宋体" w:eastAsia="宋体" w:cs="宋体"/>
          <w:sz w:val="24"/>
          <w:szCs w:val="24"/>
          <w:highlight w:val="none"/>
        </w:rPr>
        <w:t>图像存储与（电影）回放重现单元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超声图像静态、动态存储，原始数据回放重现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4.2 </w:t>
      </w:r>
      <w:r>
        <w:rPr>
          <w:rFonts w:hint="eastAsia" w:ascii="宋体" w:hAnsi="宋体" w:eastAsia="宋体" w:cs="宋体"/>
          <w:sz w:val="24"/>
          <w:szCs w:val="24"/>
          <w:highlight w:val="none"/>
        </w:rPr>
        <w:t>动态图像、静态图像以AVI、JPEG或MPEGVue格式直接存储于可移动媒介</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4.3 </w:t>
      </w:r>
      <w:r>
        <w:rPr>
          <w:rFonts w:hint="eastAsia" w:ascii="宋体" w:hAnsi="宋体" w:eastAsia="宋体" w:cs="宋体"/>
          <w:sz w:val="24"/>
          <w:szCs w:val="24"/>
          <w:highlight w:val="none"/>
        </w:rPr>
        <w:t>支持压缩和高清DICOM图像传输</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4.4 </w:t>
      </w:r>
      <w:r>
        <w:rPr>
          <w:rFonts w:hint="eastAsia" w:ascii="宋体" w:hAnsi="宋体" w:eastAsia="宋体" w:cs="宋体"/>
          <w:sz w:val="24"/>
          <w:szCs w:val="24"/>
          <w:highlight w:val="none"/>
        </w:rPr>
        <w:t>在屏剪帖板和多画面同屏回放功能，不同检查日期所存的图像可以回放至同一屏幕比较分析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4.5 </w:t>
      </w:r>
      <w:r>
        <w:rPr>
          <w:rFonts w:hint="eastAsia" w:ascii="宋体" w:hAnsi="宋体" w:eastAsia="宋体" w:cs="宋体"/>
          <w:sz w:val="24"/>
          <w:szCs w:val="24"/>
          <w:highlight w:val="none"/>
        </w:rPr>
        <w:t>USB接口支持U盘或移动硬盘快速存储屏幕上的图像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评审指标45</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5. </w:t>
      </w:r>
      <w:r>
        <w:rPr>
          <w:rFonts w:hint="eastAsia" w:ascii="宋体" w:hAnsi="宋体" w:eastAsia="宋体" w:cs="宋体"/>
          <w:sz w:val="24"/>
          <w:szCs w:val="24"/>
          <w:highlight w:val="none"/>
        </w:rPr>
        <w:t>参考信号：心电、心音、脉搏波、心电触发</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评审指标46</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6. </w:t>
      </w:r>
      <w:r>
        <w:rPr>
          <w:rFonts w:hint="eastAsia" w:ascii="宋体" w:hAnsi="宋体" w:eastAsia="宋体" w:cs="宋体"/>
          <w:sz w:val="24"/>
          <w:szCs w:val="24"/>
          <w:highlight w:val="none"/>
        </w:rPr>
        <w:t>输入/输出信号: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6.1 </w:t>
      </w:r>
      <w:r>
        <w:rPr>
          <w:rFonts w:hint="eastAsia" w:ascii="宋体" w:hAnsi="宋体" w:eastAsia="宋体" w:cs="宋体"/>
          <w:sz w:val="24"/>
          <w:szCs w:val="24"/>
          <w:highlight w:val="none"/>
        </w:rPr>
        <w:t>输入：ECG, USB</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6.2 </w:t>
      </w:r>
      <w:r>
        <w:rPr>
          <w:rFonts w:hint="eastAsia" w:ascii="宋体" w:hAnsi="宋体" w:eastAsia="宋体" w:cs="宋体"/>
          <w:sz w:val="24"/>
          <w:szCs w:val="24"/>
          <w:highlight w:val="none"/>
        </w:rPr>
        <w:t>输出：DVI-D，音频，USB</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评审指标47</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7. </w:t>
      </w:r>
      <w:r>
        <w:rPr>
          <w:rFonts w:hint="eastAsia" w:ascii="宋体" w:hAnsi="宋体" w:eastAsia="宋体" w:cs="宋体"/>
          <w:sz w:val="24"/>
          <w:szCs w:val="24"/>
          <w:highlight w:val="none"/>
        </w:rPr>
        <w:t>图像管理与记录装置：</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7.1 </w:t>
      </w:r>
      <w:r>
        <w:rPr>
          <w:rFonts w:hint="eastAsia" w:ascii="宋体" w:hAnsi="宋体" w:eastAsia="宋体" w:cs="宋体"/>
          <w:sz w:val="24"/>
          <w:szCs w:val="24"/>
          <w:highlight w:val="none"/>
        </w:rPr>
        <w:t>内置图像管理系统</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7.2 </w:t>
      </w:r>
      <w:r>
        <w:rPr>
          <w:rFonts w:hint="eastAsia" w:ascii="宋体" w:hAnsi="宋体" w:eastAsia="宋体" w:cs="宋体"/>
          <w:sz w:val="24"/>
          <w:szCs w:val="24"/>
          <w:highlight w:val="none"/>
        </w:rPr>
        <w:t>内置SSD固态硬盘存储≥1TB，其中可用于图像存储空间≥750GB</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7.3 </w:t>
      </w:r>
      <w:r>
        <w:rPr>
          <w:rFonts w:hint="eastAsia" w:ascii="宋体" w:hAnsi="宋体" w:eastAsia="宋体" w:cs="宋体"/>
          <w:sz w:val="24"/>
          <w:szCs w:val="24"/>
          <w:highlight w:val="none"/>
        </w:rPr>
        <w:t>可扩展的存储装置：大容量移动硬盘、DVD-RW、DVR等</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评审指标48</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8. </w:t>
      </w:r>
      <w:r>
        <w:rPr>
          <w:rFonts w:hint="eastAsia" w:ascii="宋体" w:hAnsi="宋体" w:eastAsia="宋体" w:cs="宋体"/>
          <w:sz w:val="24"/>
          <w:szCs w:val="24"/>
          <w:highlight w:val="none"/>
        </w:rPr>
        <w:t xml:space="preserve">连通性：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8.1 </w:t>
      </w:r>
      <w:r>
        <w:rPr>
          <w:rFonts w:hint="eastAsia" w:ascii="宋体" w:hAnsi="宋体" w:eastAsia="宋体" w:cs="宋体"/>
          <w:sz w:val="24"/>
          <w:szCs w:val="24"/>
          <w:highlight w:val="none"/>
        </w:rPr>
        <w:t>医学数字图像和通信DICOM3.0版接口部件，支持高清DICOM传输</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8.2 </w:t>
      </w:r>
      <w:r>
        <w:rPr>
          <w:rFonts w:hint="eastAsia" w:ascii="宋体" w:hAnsi="宋体" w:eastAsia="宋体" w:cs="宋体"/>
          <w:sz w:val="24"/>
          <w:szCs w:val="24"/>
          <w:highlight w:val="none"/>
        </w:rPr>
        <w:t>支持局域网/PACS/HIS等直接存储、查询与调阅</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8.3 </w:t>
      </w:r>
      <w:r>
        <w:rPr>
          <w:rFonts w:hint="eastAsia" w:ascii="宋体" w:hAnsi="宋体" w:eastAsia="宋体" w:cs="宋体"/>
          <w:sz w:val="24"/>
          <w:szCs w:val="24"/>
          <w:highlight w:val="none"/>
        </w:rPr>
        <w:t>支持DICOM打印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技术参数及要求：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评审指标49</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系统通用功能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操作面板具有的触摸屏能进行图管理、图像预览和动态图像播放功能、图像输出操作等。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操作面板两侧有文件放置盒、耦合剂放置区等外部设备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探头接口：激活探头接口数≥4个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触摸屏具有探头接口和探头显示功能、预设条件显示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安全性能：符合国家进口商品安全质量要求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评审指标50</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探头规格</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频率：所配探头均为宽频带多点变频探头，频率范围1.4-18.0MHz，中心频率可选择≥4种</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二维、彩色、多普勒均可独立变频</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类型：可支持相控阵、凸阵、微凸阵、腔内、线阵、经食道矩阵及术中探头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B/D兼用：相控阵B/PWD/CWD，线阵B/PWD，凸阵B/PWD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探头工作频率范围: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成人相控阵探头：1.4-4.6MHz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电子线阵探头：  2.4-10.0MHz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成人凸阵探头：  1.5-6.0MHz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面阵线阵探头:   4.5-15.0MHz</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评审指标51</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二维灰阶显像主要参数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成人相控阵探头扫描角度：10°-120°选择</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成像速率: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相控阵探头：90o，18cm深度时，帧速率≥100帧/秒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二维灰阶成像≥256灰阶</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支持高清晰局部放大，放大时增加信息量，提高分辨率和帧频</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回放重现：灰阶图像回放≥5000幅，允许12窗口同屏回放, 多窗口时允许不同时期的图像和实时图像对比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增益调节：STC分段≥8，B/M可独立调节</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二次谐波：所配探头支持二次谐波，相控阵探头谐波数≥6组</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心脏扫描深度≥30cm</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腹部探头扫描深度≥50cm </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评审指标52</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4. </w:t>
      </w:r>
      <w:r>
        <w:rPr>
          <w:rFonts w:hint="eastAsia" w:ascii="宋体" w:hAnsi="宋体" w:eastAsia="宋体" w:cs="宋体"/>
          <w:sz w:val="24"/>
          <w:szCs w:val="24"/>
          <w:highlight w:val="none"/>
        </w:rPr>
        <w:t>频谱多普勒成像参数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方式： PWD, HPRF，LPRF，CWD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多普勒发射频率：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扇扫：≥八段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线阵：≥三段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凸阵：≥六段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最大测量速度：</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PWD：血流速度≥7.6m/s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CWD：血流速度≥12m/s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最低测量速度：≤2mm/s(非噪声信号)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显示方式：B、M、B/M、B/M/CFI、B/D、D、B/CFI/D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4.6</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电影回放：≥90秒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4.7</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零位移动：≥6级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4.8</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取样宽度及位置范围：宽度1-16mm；分级可调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4.9</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显示控制：反转显示(左/右；上/下)、零移位，B—刷新(手控、时间、ECG同步)、D扩展、B/D扩展，局放及移位</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4.10</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频谱自动包络并完成测量，参数可自定义，可于实时、冻结和回放图像上完成</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评审指标53</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5. </w:t>
      </w:r>
      <w:r>
        <w:rPr>
          <w:rFonts w:hint="eastAsia" w:ascii="宋体" w:hAnsi="宋体" w:eastAsia="宋体" w:cs="宋体"/>
          <w:sz w:val="24"/>
          <w:szCs w:val="24"/>
          <w:highlight w:val="none"/>
        </w:rPr>
        <w:t>彩色多普勒成像参数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显示方式：速度显示、能量显示、方差显示、彩色心肌速度多普勒显示、彩色心肌位移多普勒显示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实时二同步/三同步显示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彩色显示帧频：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相控阵扇扫探头、90°角，18cm深满屏显示，彩色显示帧频≥19帧/s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相控阵扇扫探头、90°角，18cm深满屏显示，彩色组织多普勒帧频≥139帧/s   </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显示位置调整：线阵扫描感兴趣的图像范围： -30°- +30°</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显示控制：零位移动分±10级、黑/白与彩色比较、彩色对比</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5.6</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彩色显示速度：最低平均血流显示速度：≤10mm/s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5.7</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实时组织多普勒速度成像、实时组织多普勒位移成像,可M型、直线解剖M型、曲线解剖M型及频谱分析。</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评审指标54</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超声功率输出调节:B/M、CWD、PWD、Color Doppler输出功率可调</w:t>
      </w:r>
    </w:p>
    <w:p>
      <w:pPr>
        <w:keepNext w:val="0"/>
        <w:keepLines w:val="0"/>
        <w:pageBreakBefore w:val="0"/>
        <w:widowControl w:val="0"/>
        <w:kinsoku/>
        <w:wordWrap/>
        <w:topLinePunct w:val="0"/>
        <w:bidi w:val="0"/>
        <w:snapToGrid/>
        <w:spacing w:line="400" w:lineRule="atLeast"/>
        <w:ind w:firstLine="482" w:firstLineChars="200"/>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★配置清单</w:t>
      </w:r>
    </w:p>
    <w:tbl>
      <w:tblPr>
        <w:tblStyle w:val="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51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50" w:type="dxa"/>
            <w:vAlign w:val="top"/>
          </w:tcPr>
          <w:p>
            <w:pPr>
              <w:jc w:val="center"/>
              <w:rPr>
                <w:rFonts w:hint="default"/>
                <w:sz w:val="24"/>
                <w:szCs w:val="24"/>
                <w:lang w:val="en-US" w:eastAsia="zh-CN"/>
              </w:rPr>
            </w:pPr>
            <w:r>
              <w:rPr>
                <w:rFonts w:hint="eastAsia"/>
                <w:sz w:val="24"/>
                <w:szCs w:val="24"/>
                <w:lang w:val="en-US" w:eastAsia="zh-CN"/>
              </w:rPr>
              <w:t>序 号</w:t>
            </w:r>
          </w:p>
        </w:tc>
        <w:tc>
          <w:tcPr>
            <w:tcW w:w="5760" w:type="dxa"/>
            <w:vAlign w:val="top"/>
          </w:tcPr>
          <w:p>
            <w:pPr>
              <w:jc w:val="center"/>
              <w:rPr>
                <w:rFonts w:hint="default"/>
                <w:sz w:val="24"/>
                <w:szCs w:val="24"/>
                <w:lang w:val="en-US" w:eastAsia="zh-CN"/>
              </w:rPr>
            </w:pPr>
            <w:r>
              <w:rPr>
                <w:rFonts w:hint="eastAsia"/>
                <w:sz w:val="24"/>
                <w:szCs w:val="24"/>
                <w:lang w:val="en-US" w:eastAsia="zh-CN"/>
              </w:rPr>
              <w:t>配 置 要 求</w:t>
            </w:r>
          </w:p>
        </w:tc>
        <w:tc>
          <w:tcPr>
            <w:tcW w:w="1612" w:type="dxa"/>
            <w:vAlign w:val="top"/>
          </w:tcPr>
          <w:p>
            <w:pPr>
              <w:jc w:val="center"/>
              <w:rPr>
                <w:rFonts w:hint="default"/>
                <w:sz w:val="24"/>
                <w:szCs w:val="24"/>
                <w:lang w:val="en-US" w:eastAsia="zh-CN"/>
              </w:rPr>
            </w:pPr>
            <w:r>
              <w:rPr>
                <w:rFonts w:hint="eastAsia"/>
                <w:sz w:val="24"/>
                <w:szCs w:val="24"/>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1</w:t>
            </w:r>
          </w:p>
        </w:tc>
        <w:tc>
          <w:tcPr>
            <w:tcW w:w="5760" w:type="dxa"/>
            <w:vAlign w:val="top"/>
          </w:tcPr>
          <w:p>
            <w:pPr>
              <w:jc w:val="center"/>
              <w:rPr>
                <w:rFonts w:hint="default"/>
                <w:sz w:val="24"/>
                <w:szCs w:val="24"/>
                <w:lang w:val="en-US" w:eastAsia="zh-CN"/>
              </w:rPr>
            </w:pPr>
            <w:r>
              <w:rPr>
                <w:rFonts w:hint="eastAsia"/>
                <w:sz w:val="24"/>
                <w:szCs w:val="24"/>
                <w:lang w:val="en-US" w:eastAsia="zh-CN"/>
              </w:rPr>
              <w:t>彩超主机</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2</w:t>
            </w:r>
          </w:p>
        </w:tc>
        <w:tc>
          <w:tcPr>
            <w:tcW w:w="5760" w:type="dxa"/>
            <w:vAlign w:val="top"/>
          </w:tcPr>
          <w:p>
            <w:pPr>
              <w:jc w:val="center"/>
              <w:rPr>
                <w:rFonts w:hint="default"/>
                <w:sz w:val="24"/>
                <w:szCs w:val="24"/>
                <w:lang w:val="en-US" w:eastAsia="zh-CN"/>
              </w:rPr>
            </w:pPr>
            <w:r>
              <w:rPr>
                <w:rFonts w:hint="eastAsia"/>
                <w:sz w:val="24"/>
                <w:szCs w:val="24"/>
                <w:lang w:val="en-US" w:eastAsia="zh-CN"/>
              </w:rPr>
              <w:t>彩色液晶显示器</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3</w:t>
            </w:r>
          </w:p>
        </w:tc>
        <w:tc>
          <w:tcPr>
            <w:tcW w:w="5760" w:type="dxa"/>
            <w:vAlign w:val="top"/>
          </w:tcPr>
          <w:p>
            <w:pPr>
              <w:jc w:val="center"/>
              <w:rPr>
                <w:rFonts w:hint="default"/>
                <w:sz w:val="24"/>
                <w:szCs w:val="24"/>
                <w:lang w:val="en-US" w:eastAsia="zh-CN"/>
              </w:rPr>
            </w:pPr>
            <w:r>
              <w:rPr>
                <w:rFonts w:hint="eastAsia"/>
                <w:sz w:val="24"/>
                <w:szCs w:val="24"/>
                <w:lang w:val="en-US" w:eastAsia="zh-CN"/>
              </w:rPr>
              <w:t>液晶触摸屏</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4</w:t>
            </w:r>
          </w:p>
        </w:tc>
        <w:tc>
          <w:tcPr>
            <w:tcW w:w="5760" w:type="dxa"/>
            <w:vAlign w:val="top"/>
          </w:tcPr>
          <w:p>
            <w:pPr>
              <w:jc w:val="center"/>
              <w:rPr>
                <w:rFonts w:hint="default"/>
                <w:sz w:val="24"/>
                <w:szCs w:val="24"/>
                <w:lang w:val="en-US" w:eastAsia="zh-CN"/>
              </w:rPr>
            </w:pPr>
            <w:r>
              <w:rPr>
                <w:rFonts w:hint="eastAsia"/>
                <w:sz w:val="24"/>
                <w:szCs w:val="24"/>
                <w:lang w:val="en-US" w:eastAsia="zh-CN"/>
              </w:rPr>
              <w:t>全域聚焦，软波束成像平台</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5</w:t>
            </w:r>
          </w:p>
        </w:tc>
        <w:tc>
          <w:tcPr>
            <w:tcW w:w="5760" w:type="dxa"/>
            <w:vAlign w:val="top"/>
          </w:tcPr>
          <w:p>
            <w:pPr>
              <w:jc w:val="center"/>
              <w:rPr>
                <w:rFonts w:hint="eastAsia"/>
                <w:sz w:val="24"/>
                <w:szCs w:val="24"/>
                <w:lang w:val="en-US" w:eastAsia="zh-CN"/>
              </w:rPr>
            </w:pPr>
            <w:r>
              <w:rPr>
                <w:rFonts w:hint="eastAsia"/>
                <w:sz w:val="24"/>
                <w:szCs w:val="24"/>
                <w:lang w:val="en-US" w:eastAsia="zh-CN"/>
              </w:rPr>
              <w:t>心肌造影</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6</w:t>
            </w:r>
          </w:p>
        </w:tc>
        <w:tc>
          <w:tcPr>
            <w:tcW w:w="5760" w:type="dxa"/>
            <w:vAlign w:val="top"/>
          </w:tcPr>
          <w:p>
            <w:pPr>
              <w:jc w:val="center"/>
              <w:rPr>
                <w:rFonts w:hint="eastAsia"/>
                <w:sz w:val="24"/>
                <w:szCs w:val="24"/>
                <w:lang w:val="en-US" w:eastAsia="zh-CN"/>
              </w:rPr>
            </w:pPr>
            <w:r>
              <w:rPr>
                <w:rFonts w:hint="eastAsia"/>
                <w:sz w:val="24"/>
                <w:szCs w:val="24"/>
                <w:lang w:val="en-US" w:eastAsia="zh-CN"/>
              </w:rPr>
              <w:t>成人ECG心电连接盒，成人ECG心电导线</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7</w:t>
            </w:r>
          </w:p>
        </w:tc>
        <w:tc>
          <w:tcPr>
            <w:tcW w:w="5760" w:type="dxa"/>
            <w:vAlign w:val="top"/>
          </w:tcPr>
          <w:p>
            <w:pPr>
              <w:jc w:val="center"/>
              <w:rPr>
                <w:rFonts w:hint="eastAsia"/>
                <w:sz w:val="24"/>
                <w:szCs w:val="24"/>
                <w:lang w:val="en-US" w:eastAsia="zh-CN"/>
              </w:rPr>
            </w:pPr>
            <w:r>
              <w:rPr>
                <w:rFonts w:hint="eastAsia"/>
                <w:sz w:val="24"/>
                <w:szCs w:val="24"/>
                <w:lang w:val="en-US" w:eastAsia="zh-CN"/>
              </w:rPr>
              <w:t>线阵探头</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8</w:t>
            </w:r>
          </w:p>
        </w:tc>
        <w:tc>
          <w:tcPr>
            <w:tcW w:w="5760" w:type="dxa"/>
            <w:vAlign w:val="top"/>
          </w:tcPr>
          <w:p>
            <w:pPr>
              <w:jc w:val="center"/>
              <w:rPr>
                <w:rFonts w:hint="eastAsia"/>
                <w:sz w:val="24"/>
                <w:szCs w:val="24"/>
                <w:lang w:val="en-US" w:eastAsia="zh-CN"/>
              </w:rPr>
            </w:pPr>
            <w:r>
              <w:rPr>
                <w:rFonts w:hint="eastAsia"/>
                <w:sz w:val="24"/>
                <w:szCs w:val="24"/>
                <w:lang w:val="en-US" w:eastAsia="zh-CN"/>
              </w:rPr>
              <w:t>成人相控阵探头</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9</w:t>
            </w:r>
          </w:p>
        </w:tc>
        <w:tc>
          <w:tcPr>
            <w:tcW w:w="5760" w:type="dxa"/>
            <w:vAlign w:val="top"/>
          </w:tcPr>
          <w:p>
            <w:pPr>
              <w:jc w:val="center"/>
              <w:rPr>
                <w:rFonts w:hint="eastAsia"/>
                <w:sz w:val="24"/>
                <w:szCs w:val="24"/>
                <w:lang w:val="en-US" w:eastAsia="zh-CN"/>
              </w:rPr>
            </w:pPr>
            <w:r>
              <w:rPr>
                <w:rFonts w:hint="eastAsia"/>
                <w:sz w:val="24"/>
                <w:szCs w:val="24"/>
                <w:lang w:val="en-US" w:eastAsia="zh-CN"/>
              </w:rPr>
              <w:t>面阵线阵探头</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center"/>
              <w:rPr>
                <w:rFonts w:hint="default"/>
                <w:sz w:val="24"/>
                <w:szCs w:val="24"/>
                <w:lang w:val="en-US" w:eastAsia="zh-CN"/>
              </w:rPr>
            </w:pPr>
            <w:r>
              <w:rPr>
                <w:rFonts w:hint="eastAsia"/>
                <w:sz w:val="24"/>
                <w:szCs w:val="24"/>
                <w:lang w:val="en-US" w:eastAsia="zh-CN"/>
              </w:rPr>
              <w:t>10</w:t>
            </w:r>
          </w:p>
        </w:tc>
        <w:tc>
          <w:tcPr>
            <w:tcW w:w="5760" w:type="dxa"/>
            <w:vAlign w:val="top"/>
          </w:tcPr>
          <w:p>
            <w:pPr>
              <w:jc w:val="center"/>
              <w:rPr>
                <w:rFonts w:hint="eastAsia"/>
                <w:sz w:val="24"/>
                <w:szCs w:val="24"/>
                <w:lang w:val="en-US" w:eastAsia="zh-CN"/>
              </w:rPr>
            </w:pPr>
            <w:r>
              <w:rPr>
                <w:rFonts w:hint="eastAsia"/>
                <w:sz w:val="24"/>
                <w:szCs w:val="24"/>
                <w:lang w:val="en-US" w:eastAsia="zh-CN"/>
              </w:rPr>
              <w:t>凸阵探头</w:t>
            </w:r>
          </w:p>
        </w:tc>
        <w:tc>
          <w:tcPr>
            <w:tcW w:w="1612" w:type="dxa"/>
            <w:vAlign w:val="top"/>
          </w:tcPr>
          <w:p>
            <w:pPr>
              <w:jc w:val="center"/>
              <w:rPr>
                <w:rFonts w:hint="default"/>
                <w:sz w:val="24"/>
                <w:szCs w:val="24"/>
                <w:lang w:val="en-US" w:eastAsia="zh-CN"/>
              </w:rPr>
            </w:pPr>
            <w:r>
              <w:rPr>
                <w:rFonts w:hint="eastAsia"/>
                <w:sz w:val="24"/>
                <w:szCs w:val="24"/>
                <w:lang w:val="en-US" w:eastAsia="zh-CN"/>
              </w:rPr>
              <w:t>1</w:t>
            </w:r>
          </w:p>
        </w:tc>
      </w:tr>
    </w:tbl>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品目号1-3、</w:t>
      </w:r>
      <w:r>
        <w:rPr>
          <w:rFonts w:hint="eastAsia" w:ascii="宋体" w:hAnsi="宋体" w:eastAsia="宋体" w:cs="宋体"/>
          <w:sz w:val="24"/>
          <w:szCs w:val="24"/>
          <w:highlight w:val="none"/>
        </w:rPr>
        <w:t>彩色多普勒超声波诊断仪</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评审指标56</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1.设备用途说明：</w:t>
      </w:r>
      <w:r>
        <w:rPr>
          <w:rFonts w:hint="eastAsia" w:ascii="宋体" w:hAnsi="宋体" w:eastAsia="宋体" w:cs="宋体"/>
          <w:sz w:val="24"/>
          <w:szCs w:val="24"/>
          <w:highlight w:val="none"/>
        </w:rPr>
        <w:t>心脏、腹部、妇产科、泌尿科、浅表组织与小器官、外周血管、小儿与新生儿、术中、穿刺等全身应用。</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彩色多普勒超声波诊断仪包括：</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评审指标57</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1高分辨率LED液晶显示器≥21.5英寸</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评审指标58</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2 ≥13英寸液晶触摸屏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评审指标59</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3 二维灰阶成像单元</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评审指标60</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4 脉冲反相谐波成像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评审指标61</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5 M型成像单元</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评审指标62</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6 高分辨、高精细彩色多普勒血流成像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评审指标63</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7 频谱多普勒显示和分析单元</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评审指标64</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8 能量多普勒，方向性能量图</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评审指标65</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9 数字化波束形成器，多倍波束并行处理系统，多级信号处理系统，数字化全程动态聚焦</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评审指标66</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10组织特异性成像预设，针对不同脏器预设最佳声波传播速度用于计算成像，减少因成像声速值与实际声速值偏差导致图像失真</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评审指标67</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11声速校正技术，可根据人体组织真实情况，实时匹配至最佳成像声速，并显示≥10个具体声速数值</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评审指标68</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12 空间复合成像技术：支持梯形成像，具有三种模式，每种模式有3档调节；空间复合成像的聚焦宽度、帧平均、线密度等多种参数均有多级可调；可做曲线别针试验证明≥9线发射</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评审指标69</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13 斑点噪声抑制技术：可以支持所有探头，B模式下支持≥7档调节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评审指标70</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14 智能一键实时扫查优化技术：扫查前按下面板上该功能键，扫查过程中可以实时动态优化灰阶图、彩色多普勒、频谱多普勒图像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14.1切换扫查部位无需重复按键，始终保持优化状态, 扫描深度变化的同时，频率、增益、线密度等参数随之改变</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14.2 B型图像优化具有不同的图像风格可选，3档可调，对实时和冻结图像均可起效</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14.3 PW频谱一键优化对于实时和冻结图像均可起效</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评审指标71</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15 宽景成像，最长视野≥60cm，可用于包含相控阵在内的所有探头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16 灰阶血流成像：非多普勒原理，非造影技术，无需造影剂直接显示红细胞运动，具有不受流速和角度限制、无血流外溢现象、无取样框、不会降低帧频等优点, 可选择去除组织背景、仅显示血流模式</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评审指标72</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 人机工程学技术要求</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17.1 内置快捷操作指导模块：通过文字、图片、视频等形式指导用户快速掌握机器操</w:t>
      </w:r>
    </w:p>
    <w:p>
      <w:pPr>
        <w:keepNext w:val="0"/>
        <w:keepLines w:val="0"/>
        <w:pageBreakBefore w:val="0"/>
        <w:widowControl w:val="0"/>
        <w:kinsoku/>
        <w:wordWrap/>
        <w:topLinePunct w:val="0"/>
        <w:bidi w:val="0"/>
        <w:snapToGrid/>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作，可随时调阅</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17.2 系统内置操作切面实时指导工具：可在屏幕上分屏显示各脏器标准扫查切面超声</w:t>
      </w:r>
    </w:p>
    <w:p>
      <w:pPr>
        <w:keepNext w:val="0"/>
        <w:keepLines w:val="0"/>
        <w:pageBreakBefore w:val="0"/>
        <w:widowControl w:val="0"/>
        <w:kinsoku/>
        <w:wordWrap/>
        <w:topLinePunct w:val="0"/>
        <w:bidi w:val="0"/>
        <w:snapToGrid/>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图与扫查手法图片、flash动画图并配以文字说明，可实时指导操作者找到标准切面并进行正确测量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17.3可在屏幕上显示自定义按键个数≥7个，且同时显示自定义按键的功能名称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17.4语音备注：连接外接话筒，点击触摸屏上的功能图标，在图像上添加一段语音备注，与图像一起存储，支持调看图像时回放。</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17.5自动记忆功能：系统自动记录自装机使用以来的最常用的探头及检查条件，并按照使用频率进行排序，显示在触摸屏右侧以便操作医生第一时间看到并选择。选择一个条件之后，触摸屏上立即显示在该条件下最常用的三个功能键，以便节省操作时间</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17.6触摸屏快捷手势键：触摸屏上可自定义四个快捷手势键并赋予相应功能，通过手指上下左右滑动触摸屏即可实现该功能。</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技术参数及要求</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评审指标73</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3.1 </w:t>
      </w:r>
      <w:r>
        <w:rPr>
          <w:rFonts w:hint="eastAsia" w:ascii="宋体" w:hAnsi="宋体" w:eastAsia="宋体" w:cs="宋体"/>
          <w:sz w:val="24"/>
          <w:szCs w:val="24"/>
          <w:highlight w:val="none"/>
        </w:rPr>
        <w:t>探头规格</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rPr>
        <w:t>.1 激活探头接口≥3个</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rPr>
        <w:t>.2 频率：宽频、变频探头，可视可调中心频率范围1.7-18 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rPr>
        <w:t>.3 频率自动调节功能：在彩色和其他多普勒模式下，随着取样位置深度的变化自动调节频率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3.2.1.4 支持探头类型：支持凸阵、线阵、相控阵、微凸阵、双平面、术中、容积腹部、容积腔内探头等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3.2.1.5 穿刺导向：具有穿刺引导线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3.2.1.6 扫描频率：</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电子凸阵： 可视可调中心频率2.0—5.0 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电子线阵： 可视可调中心频率4.5—9.0 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宽频线阵探头：可视可调中心频率5.0—13.0 MHz</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▲3.2.1.7 成人相控阵探头扫描角度≥115°</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评审指标74</w:t>
      </w:r>
      <w:r>
        <w:rPr>
          <w:rFonts w:hint="eastAsia" w:ascii="宋体" w:hAnsi="宋体" w:eastAsia="宋体" w:cs="宋体"/>
          <w:b/>
          <w:bCs/>
          <w:sz w:val="24"/>
          <w:szCs w:val="24"/>
          <w:highlight w:val="none"/>
          <w:lang w:val="en-US" w:eastAsia="zh-CN"/>
        </w:rPr>
        <w:t>）</w:t>
      </w:r>
      <w:r>
        <w:rPr>
          <w:rFonts w:hint="eastAsia" w:ascii="宋体" w:hAnsi="宋体" w:cs="宋体"/>
          <w:sz w:val="24"/>
          <w:szCs w:val="24"/>
          <w:highlight w:val="none"/>
          <w:lang w:val="en-US" w:eastAsia="zh-CN"/>
        </w:rPr>
        <w:t xml:space="preserve">3.2 </w:t>
      </w:r>
      <w:r>
        <w:rPr>
          <w:rFonts w:hint="eastAsia" w:ascii="宋体" w:hAnsi="宋体" w:eastAsia="宋体" w:cs="宋体"/>
          <w:sz w:val="24"/>
          <w:szCs w:val="24"/>
          <w:highlight w:val="none"/>
        </w:rPr>
        <w:t>B型成像主要参数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 ≥256灰阶</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回放重现：灰阶图像回放≥3000帧、回放时间≥180秒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 预设条件：针对不同的检查脏器，预置最佳化图像的检查条件≥30种，可自定义建立多个预设条件</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3.2.4 增益调节：B/M/CF/D可独立调节</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3.2.4.1  TGC调节≥10段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3.2.4.2  LGC调节≥8段</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3.2.2.5 超声系统最大探查深度≥32 cm</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3.2.6 系统动态范围≥270 dB</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3.2.7 凸阵探头最大视角，18 cm深度时，帧频≥46帧；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相控阵探头90°视角，18 cm深度时，帧频≥81帧</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3.3   频谱多普勒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方式：脉冲波多普勒PWD；高脉冲重复频率HPRF；连续波多普勒CWD</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 多普勒发射频率可视可调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 最大测量速度：PWD：≥20m/s ；CWD: ≥40m/s；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最小测量速度：≤1mm/s</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 多普勒取样容积距离体表的深度可在屏幕上实时显示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 PW取样容积宽度1-15mm</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评审指标76</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3.4   彩色多普勒</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显示方式：速度分散显示、能量显示、速度显示、方差显示</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彩色多普勒频率可视可调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凸阵探头最大视角，最大取样框，18cm深度时，彩色帧频≥8帧；</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相控阵探头90°视角, 最大取样框，18cm深度时，彩色帧频≥12帧；</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评审指标76</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测量和分析：(B型、M型、频谱多普勒、彩色模式)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1. </w:t>
      </w:r>
      <w:r>
        <w:rPr>
          <w:rFonts w:hint="eastAsia" w:ascii="宋体" w:hAnsi="宋体" w:eastAsia="宋体" w:cs="宋体"/>
          <w:sz w:val="24"/>
          <w:szCs w:val="24"/>
          <w:highlight w:val="none"/>
        </w:rPr>
        <w:t>一般测量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妇产科测量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 </w:t>
      </w:r>
      <w:r>
        <w:rPr>
          <w:rFonts w:hint="eastAsia" w:ascii="宋体" w:hAnsi="宋体" w:eastAsia="宋体" w:cs="宋体"/>
          <w:sz w:val="24"/>
          <w:szCs w:val="24"/>
          <w:highlight w:val="none"/>
        </w:rPr>
        <w:t>具有双胎甚至4胎参数测量及生长发育曲线；单胎具有≥20种生长发育曲线</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2.2产科自动测量软件：对于常见的胎儿发育指标参数（双顶径、头围、腹围、股骨长、肱骨长等），系统可以自动识别、测量，并计算出结果</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心功能测量与分析</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4. </w:t>
      </w:r>
      <w:r>
        <w:rPr>
          <w:rFonts w:hint="eastAsia" w:ascii="宋体" w:hAnsi="宋体" w:eastAsia="宋体" w:cs="宋体"/>
          <w:sz w:val="24"/>
          <w:szCs w:val="24"/>
          <w:highlight w:val="none"/>
        </w:rPr>
        <w:t>多普勒血流测量与计算</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5. </w:t>
      </w:r>
      <w:r>
        <w:rPr>
          <w:rFonts w:hint="eastAsia" w:ascii="宋体" w:hAnsi="宋体" w:eastAsia="宋体" w:cs="宋体"/>
          <w:sz w:val="24"/>
          <w:szCs w:val="24"/>
          <w:highlight w:val="none"/>
        </w:rPr>
        <w:t>频谱多普勒自动包络测量和计算，可自动测量和计算≥12个参数</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6. </w:t>
      </w:r>
      <w:r>
        <w:rPr>
          <w:rFonts w:hint="eastAsia" w:ascii="宋体" w:hAnsi="宋体" w:eastAsia="宋体" w:cs="宋体"/>
          <w:sz w:val="24"/>
          <w:szCs w:val="24"/>
          <w:highlight w:val="none"/>
        </w:rPr>
        <w:t>泌尿系统测量与分析，具有膀胱容积自动测量：自动识别膀胱壁，标记各径线大小，系统自动计算膀胱容积</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7. </w:t>
      </w:r>
      <w:r>
        <w:rPr>
          <w:rFonts w:hint="eastAsia" w:ascii="宋体" w:hAnsi="宋体" w:eastAsia="宋体" w:cs="宋体"/>
          <w:sz w:val="24"/>
          <w:szCs w:val="24"/>
          <w:highlight w:val="none"/>
        </w:rPr>
        <w:t>乳腺病灶自动测量，系统自动识别乳腺病灶位置及轮廓，自动包络并测量相关数据</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评审指标78</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电影回放重现及病案管理单元</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1. </w:t>
      </w:r>
      <w:r>
        <w:rPr>
          <w:rFonts w:hint="eastAsia" w:ascii="宋体" w:hAnsi="宋体" w:eastAsia="宋体" w:cs="宋体"/>
          <w:sz w:val="24"/>
          <w:szCs w:val="24"/>
          <w:highlight w:val="none"/>
        </w:rPr>
        <w:t>同屏一体化智能剪贴板, 可以实时同屏存储和回放动态及静态图像，将存储的图像显</w:t>
      </w:r>
    </w:p>
    <w:p>
      <w:pPr>
        <w:keepNext w:val="0"/>
        <w:keepLines w:val="0"/>
        <w:pageBreakBefore w:val="0"/>
        <w:widowControl w:val="0"/>
        <w:kinsoku/>
        <w:wordWrap/>
        <w:topLinePunct w:val="0"/>
        <w:bidi w:val="0"/>
        <w:snapToGrid/>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示在屏幕上实时图像的下方，随时调阅、删除、导出图像</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USB一键快速存储：只需一个按键一步操作即可把屏幕上的图像传输至U盘或移动硬盘中</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系统固态硬盘SSD≥500GB</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评审指标79</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输入、输出信号</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1. </w:t>
      </w:r>
      <w:r>
        <w:rPr>
          <w:rFonts w:hint="eastAsia" w:ascii="宋体" w:hAnsi="宋体" w:eastAsia="宋体" w:cs="宋体"/>
          <w:sz w:val="24"/>
          <w:szCs w:val="24"/>
          <w:highlight w:val="none"/>
        </w:rPr>
        <w:t>输入、输出接口：VGA、S-Video、RCA、Audio、USB、HDMI等</w:t>
      </w:r>
    </w:p>
    <w:p>
      <w:pPr>
        <w:keepNext w:val="0"/>
        <w:keepLines w:val="0"/>
        <w:pageBreakBefore w:val="0"/>
        <w:widowControl w:val="0"/>
        <w:kinsoku/>
        <w:wordWrap/>
        <w:topLinePunct w:val="0"/>
        <w:bidi w:val="0"/>
        <w:snapToGrid/>
        <w:spacing w:line="40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DICOM3.0接口部件</w:t>
      </w:r>
    </w:p>
    <w:p>
      <w:pPr>
        <w:keepNext w:val="0"/>
        <w:keepLines w:val="0"/>
        <w:pageBreakBefore w:val="0"/>
        <w:widowControl w:val="0"/>
        <w:kinsoku/>
        <w:wordWrap/>
        <w:topLinePunct w:val="0"/>
        <w:bidi w:val="0"/>
        <w:snapToGrid/>
        <w:spacing w:line="400" w:lineRule="atLeas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评审指标80</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★配置清单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70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 号</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 置 要 求</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彩超主机</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彩色液晶显示器</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液晶触摸屏</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3探头激活接口</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功能齐全的测量分析及软件包</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扫描助手</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DICOM 3.0 高级联网接口</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宽频线阵探头</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宽频凸阵探头</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70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高密阵列线阵探头</w:t>
            </w:r>
          </w:p>
        </w:tc>
        <w:tc>
          <w:tcPr>
            <w:tcW w:w="1361"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spacing w:line="360" w:lineRule="auto"/>
        <w:rPr>
          <w:rFonts w:hint="eastAsia" w:ascii="宋体" w:hAnsi="宋体"/>
          <w:bCs/>
          <w:szCs w:val="21"/>
        </w:rPr>
      </w:pP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sz w:val="24"/>
          <w:szCs w:val="24"/>
        </w:rPr>
      </w:pPr>
      <w:r>
        <w:rPr>
          <w:b/>
          <w:sz w:val="24"/>
          <w:szCs w:val="24"/>
        </w:rPr>
        <w:t>三、商务要求（以“★”标示的内容为不允许负偏离的实质性要求）</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采购包1：</w:t>
      </w:r>
    </w:p>
    <w:tbl>
      <w:tblPr>
        <w:tblStyle w:val="6"/>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1281"/>
        <w:gridCol w:w="1488"/>
        <w:gridCol w:w="5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序号</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参数性质</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类型</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交货时间</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2</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交货地点</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福建医科大学附属第一医院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3</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交货条件</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4</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是否邀请投标人验收</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5</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履约验收方式</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期次1，说明：产品质量应达到设计要求，招标文件及合同中要求的所有配置应符合要求；安装调试各项指标和技术参数应符合招标文件规定的技术要求和有关验收标准要求。产品外观应无破损、裂缝和缺陷且标识清晰。2 验收方法：2.1 出厂检验：中标人应提供货物制造厂的出厂检验报告、合格证书、装箱单。2.2 进口商检：若进口货物中标人应提供进口的有关证明，包括货物的产地、品牌及装运港等与投标文件相一致的证明材料。2.3 安装调试检验：设备安装、调试过程，中标人应作详细检验记录。安装调试检验结果应符合制造厂产品标准和招标文件的规定。检验记录应真实并提供给采购人。2.4 最终验收：设备安装、调试结束后中标人负责并会同采购人及有关专家按第1款验收标准进行联合验收。需有采购人的设备安装验收报告单、且必须经采购人设备与医用材料管理处工程师和设备使用科室负责人在验收报告单上签字，即为验收完成。保修期从采购人设备安装验收报告单签署时间算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6</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合同支付方式</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1、设备安装及验收合格后，中标人凭A.开具等额货物金额100%的增值税普通发票 B.有效海关、商检证明文件（设备为进口货物的情况下要求提供），向采购人申请付款，采购人在设备入账后，达到付款条件起90日内，支付合同总金额的100.00%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7</w:t>
            </w:r>
          </w:p>
        </w:tc>
        <w:tc>
          <w:tcPr>
            <w:tcW w:w="1281"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w:t>
            </w:r>
          </w:p>
        </w:tc>
        <w:tc>
          <w:tcPr>
            <w:tcW w:w="1488"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其他</w:t>
            </w:r>
          </w:p>
        </w:tc>
        <w:tc>
          <w:tcPr>
            <w:tcW w:w="5940" w:type="dxa"/>
            <w:vAlign w:val="top"/>
          </w:tcPr>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1.交货时间：合同生效90天内交货。本章“商务要求：交货时间”与本条有不同表述的，以本条款为准。 2.合同支付方式：设备安装及验收合格后，中标人凭A.开具等额货物金额100%的增值税普通发票 B.有效海关、商检证明文件（设备为进口货物的情况下要求提供），向采购人申请付款。采购人在设备入账后三个月内以银行付款方式向中标人支付合同总金额的100%的款项，履约期满后采购人根据中标人提交的付款申请材料无息退回履约保证金给中标人。投标报价须包含以上设备装卸、搬运就位、安装调试、服务等一切费用。本章“商务要求：交货时间”与本条有不同表述的，以本条款为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atLeas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履约保证金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采购包1：缴纳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本采购包履约保证金为合同金额的5.0%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说明：中标人在签订政府采购合同前应向采购人缴纳合同总金额的5%作为履约保证金，该履约保证金于履约期满后由中标人书面提出申请，无其他未了事项，无息退还。注：若本项目中标人所投产品的制造商均为符合财政部、工信部文件（财库2020 46号）规定的中、小、微企业（需提供中小企业声明函），缴纳履约保证金的金额为合同总金额的4%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atLeas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其他商务要求</w:t>
      </w:r>
    </w:p>
    <w:p>
      <w:pPr>
        <w:keepNext w:val="0"/>
        <w:keepLines w:val="0"/>
        <w:pageBreakBefore w:val="0"/>
        <w:kinsoku/>
        <w:wordWrap/>
        <w:overflowPunct/>
        <w:topLinePunct w:val="0"/>
        <w:autoSpaceDE/>
        <w:autoSpaceDN/>
        <w:bidi w:val="0"/>
        <w:adjustRightInd w:val="0"/>
        <w:snapToGrid w:val="0"/>
        <w:spacing w:line="400" w:lineRule="atLeast"/>
        <w:ind w:left="2" w:leftChars="1" w:firstLine="480" w:firstLineChars="200"/>
        <w:textAlignment w:val="auto"/>
        <w:rPr>
          <w:rFonts w:ascii="宋体" w:hAnsi="宋体"/>
          <w:sz w:val="24"/>
          <w:szCs w:val="24"/>
        </w:rPr>
      </w:pPr>
      <w:r>
        <w:rPr>
          <w:rFonts w:hint="eastAsia" w:ascii="宋体" w:hAnsi="宋体"/>
          <w:color w:val="auto"/>
          <w:sz w:val="24"/>
          <w:szCs w:val="24"/>
        </w:rPr>
        <w:t xml:space="preserve">1. </w:t>
      </w:r>
      <w:r>
        <w:rPr>
          <w:rFonts w:hint="eastAsia" w:ascii="宋体" w:hAnsi="宋体"/>
          <w:color w:val="auto"/>
          <w:sz w:val="24"/>
          <w:szCs w:val="24"/>
          <w:lang w:eastAsia="zh-CN"/>
        </w:rPr>
        <w:t>中标人</w:t>
      </w:r>
      <w:r>
        <w:rPr>
          <w:rFonts w:hint="eastAsia" w:ascii="宋体" w:hAnsi="宋体"/>
          <w:color w:val="auto"/>
          <w:sz w:val="24"/>
          <w:szCs w:val="24"/>
        </w:rPr>
        <w:t>未能履行</w:t>
      </w:r>
      <w:r>
        <w:rPr>
          <w:rFonts w:hint="eastAsia" w:ascii="宋体" w:hAnsi="宋体"/>
          <w:sz w:val="24"/>
          <w:szCs w:val="24"/>
        </w:rPr>
        <w:t>合同项下的任何义务的，</w:t>
      </w:r>
      <w:r>
        <w:rPr>
          <w:rFonts w:hint="eastAsia" w:ascii="宋体" w:hAnsi="宋体"/>
          <w:sz w:val="24"/>
          <w:szCs w:val="24"/>
          <w:lang w:eastAsia="zh-CN"/>
        </w:rPr>
        <w:t>采购人</w:t>
      </w:r>
      <w:r>
        <w:rPr>
          <w:rFonts w:hint="eastAsia" w:ascii="宋体" w:hAnsi="宋体"/>
          <w:sz w:val="24"/>
          <w:szCs w:val="24"/>
        </w:rPr>
        <w:t>有权单方面解除本合同并要求</w:t>
      </w:r>
      <w:r>
        <w:rPr>
          <w:rFonts w:hint="eastAsia" w:ascii="宋体" w:hAnsi="宋体"/>
          <w:sz w:val="24"/>
          <w:szCs w:val="24"/>
          <w:lang w:eastAsia="zh-CN"/>
        </w:rPr>
        <w:t>中标人</w:t>
      </w:r>
      <w:r>
        <w:rPr>
          <w:rFonts w:hint="eastAsia" w:ascii="宋体" w:hAnsi="宋体"/>
          <w:sz w:val="24"/>
          <w:szCs w:val="24"/>
        </w:rPr>
        <w:t>按合同约定支付违约金并赔偿损失。</w:t>
      </w:r>
    </w:p>
    <w:p>
      <w:pPr>
        <w:keepNext w:val="0"/>
        <w:keepLines w:val="0"/>
        <w:pageBreakBefore w:val="0"/>
        <w:kinsoku/>
        <w:wordWrap/>
        <w:overflowPunct/>
        <w:topLinePunct w:val="0"/>
        <w:autoSpaceDE/>
        <w:autoSpaceDN/>
        <w:bidi w:val="0"/>
        <w:adjustRightInd w:val="0"/>
        <w:snapToGrid w:val="0"/>
        <w:spacing w:line="400" w:lineRule="atLeast"/>
        <w:ind w:left="2" w:leftChars="1" w:firstLine="480" w:firstLineChars="200"/>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如果</w:t>
      </w:r>
      <w:r>
        <w:rPr>
          <w:rFonts w:hint="eastAsia" w:ascii="宋体" w:hAnsi="宋体"/>
          <w:sz w:val="24"/>
          <w:szCs w:val="24"/>
          <w:lang w:eastAsia="zh-CN"/>
        </w:rPr>
        <w:t>中标人</w:t>
      </w:r>
      <w:r>
        <w:rPr>
          <w:rFonts w:hint="eastAsia" w:ascii="宋体" w:hAnsi="宋体"/>
          <w:sz w:val="24"/>
          <w:szCs w:val="24"/>
        </w:rPr>
        <w:t>未能按合同约定的时间按时足额交货，</w:t>
      </w:r>
      <w:r>
        <w:rPr>
          <w:rFonts w:hint="eastAsia" w:ascii="宋体" w:hAnsi="宋体"/>
          <w:sz w:val="24"/>
          <w:szCs w:val="24"/>
          <w:lang w:eastAsia="zh-CN"/>
        </w:rPr>
        <w:t>采购人</w:t>
      </w:r>
      <w:r>
        <w:rPr>
          <w:rFonts w:hint="eastAsia" w:ascii="宋体" w:hAnsi="宋体"/>
          <w:sz w:val="24"/>
          <w:szCs w:val="24"/>
        </w:rPr>
        <w:t>有权要求</w:t>
      </w:r>
      <w:r>
        <w:rPr>
          <w:rFonts w:hint="eastAsia" w:ascii="宋体" w:hAnsi="宋体"/>
          <w:sz w:val="24"/>
          <w:szCs w:val="24"/>
          <w:lang w:eastAsia="zh-CN"/>
        </w:rPr>
        <w:t>中标人</w:t>
      </w:r>
      <w:r>
        <w:rPr>
          <w:rFonts w:hint="eastAsia" w:ascii="宋体" w:hAnsi="宋体"/>
          <w:sz w:val="24"/>
          <w:szCs w:val="24"/>
        </w:rPr>
        <w:t>支付延期交货违约金；延期交货违约金为每迟交</w:t>
      </w:r>
      <w:r>
        <w:rPr>
          <w:rFonts w:ascii="宋体" w:hAnsi="宋体"/>
          <w:sz w:val="24"/>
          <w:szCs w:val="24"/>
          <w:u w:val="single"/>
        </w:rPr>
        <w:t xml:space="preserve">1 </w:t>
      </w:r>
      <w:r>
        <w:rPr>
          <w:rFonts w:hint="eastAsia" w:ascii="宋体" w:hAnsi="宋体"/>
          <w:sz w:val="24"/>
          <w:szCs w:val="24"/>
        </w:rPr>
        <w:t>天，按迟交货物合同金额的</w:t>
      </w:r>
      <w:r>
        <w:rPr>
          <w:rFonts w:hint="eastAsia" w:ascii="宋体" w:hAnsi="宋体"/>
          <w:sz w:val="24"/>
          <w:szCs w:val="24"/>
          <w:u w:val="single"/>
        </w:rPr>
        <w:t>千分之一</w:t>
      </w:r>
      <w:r>
        <w:rPr>
          <w:rFonts w:hint="eastAsia" w:ascii="宋体" w:hAnsi="宋体"/>
          <w:sz w:val="24"/>
          <w:szCs w:val="24"/>
        </w:rPr>
        <w:t>计算，</w:t>
      </w:r>
      <w:r>
        <w:rPr>
          <w:rFonts w:hint="eastAsia" w:ascii="宋体" w:hAnsi="宋体"/>
          <w:sz w:val="24"/>
          <w:szCs w:val="24"/>
          <w:lang w:eastAsia="zh-CN"/>
        </w:rPr>
        <w:t>采购人</w:t>
      </w:r>
      <w:r>
        <w:rPr>
          <w:rFonts w:hint="eastAsia" w:ascii="宋体" w:hAnsi="宋体"/>
          <w:sz w:val="24"/>
          <w:szCs w:val="24"/>
        </w:rPr>
        <w:t>有权从未付的合同货款中予以扣除延期交货违约金。</w:t>
      </w:r>
    </w:p>
    <w:p>
      <w:pPr>
        <w:keepNext w:val="0"/>
        <w:keepLines w:val="0"/>
        <w:pageBreakBefore w:val="0"/>
        <w:kinsoku/>
        <w:wordWrap/>
        <w:overflowPunct/>
        <w:topLinePunct w:val="0"/>
        <w:autoSpaceDE/>
        <w:autoSpaceDN/>
        <w:bidi w:val="0"/>
        <w:adjustRightInd w:val="0"/>
        <w:snapToGrid w:val="0"/>
        <w:spacing w:line="400" w:lineRule="atLeast"/>
        <w:ind w:left="2" w:leftChars="1"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 自合同约定的交货期限截止次日起，逾期交货超过</w:t>
      </w:r>
      <w:r>
        <w:rPr>
          <w:rFonts w:ascii="宋体" w:hAnsi="宋体"/>
          <w:sz w:val="24"/>
          <w:szCs w:val="24"/>
        </w:rPr>
        <w:t>50</w:t>
      </w:r>
      <w:r>
        <w:rPr>
          <w:rFonts w:hint="eastAsia" w:ascii="宋体" w:hAnsi="宋体"/>
          <w:sz w:val="24"/>
          <w:szCs w:val="24"/>
        </w:rPr>
        <w:t>天</w:t>
      </w:r>
      <w:r>
        <w:rPr>
          <w:rFonts w:ascii="宋体" w:hAnsi="宋体"/>
          <w:sz w:val="24"/>
          <w:szCs w:val="24"/>
        </w:rPr>
        <w:t>（不含50</w:t>
      </w:r>
      <w:r>
        <w:rPr>
          <w:rFonts w:hint="eastAsia" w:ascii="宋体" w:hAnsi="宋体"/>
          <w:sz w:val="24"/>
          <w:szCs w:val="24"/>
        </w:rPr>
        <w:t>天</w:t>
      </w:r>
      <w:r>
        <w:rPr>
          <w:rFonts w:ascii="宋体" w:hAnsi="宋体"/>
          <w:sz w:val="24"/>
          <w:szCs w:val="24"/>
        </w:rPr>
        <w:t>）视为不能交货</w:t>
      </w:r>
      <w:r>
        <w:rPr>
          <w:rFonts w:hint="eastAsia" w:ascii="宋体" w:hAnsi="宋体"/>
          <w:sz w:val="24"/>
          <w:szCs w:val="24"/>
        </w:rPr>
        <w:t>；若</w:t>
      </w:r>
      <w:r>
        <w:rPr>
          <w:rFonts w:hint="eastAsia" w:ascii="宋体" w:hAnsi="宋体"/>
          <w:sz w:val="24"/>
          <w:szCs w:val="24"/>
          <w:lang w:eastAsia="zh-CN"/>
        </w:rPr>
        <w:t>中标人</w:t>
      </w:r>
      <w:r>
        <w:rPr>
          <w:rFonts w:hint="eastAsia" w:ascii="宋体" w:hAnsi="宋体"/>
          <w:sz w:val="24"/>
          <w:szCs w:val="24"/>
        </w:rPr>
        <w:t>不能交货或交货不合格从而影响</w:t>
      </w:r>
      <w:r>
        <w:rPr>
          <w:rFonts w:hint="eastAsia" w:ascii="宋体" w:hAnsi="宋体"/>
          <w:sz w:val="24"/>
          <w:szCs w:val="24"/>
          <w:lang w:eastAsia="zh-CN"/>
        </w:rPr>
        <w:t>采购人</w:t>
      </w:r>
      <w:r>
        <w:rPr>
          <w:rFonts w:hint="eastAsia" w:ascii="宋体" w:hAnsi="宋体"/>
          <w:sz w:val="24"/>
          <w:szCs w:val="24"/>
        </w:rPr>
        <w:t>正常使用的，</w:t>
      </w:r>
      <w:r>
        <w:rPr>
          <w:rFonts w:hint="eastAsia" w:ascii="宋体" w:hAnsi="宋体"/>
          <w:sz w:val="24"/>
          <w:szCs w:val="24"/>
          <w:lang w:eastAsia="zh-CN"/>
        </w:rPr>
        <w:t>中标人</w:t>
      </w:r>
      <w:r>
        <w:rPr>
          <w:rFonts w:hint="eastAsia" w:ascii="宋体" w:hAnsi="宋体"/>
          <w:sz w:val="24"/>
          <w:szCs w:val="24"/>
        </w:rPr>
        <w:t>仍应按上述</w:t>
      </w:r>
      <w:r>
        <w:rPr>
          <w:rFonts w:ascii="宋体" w:hAnsi="宋体"/>
          <w:sz w:val="24"/>
          <w:szCs w:val="24"/>
        </w:rPr>
        <w:t>2.条款</w:t>
      </w:r>
      <w:r>
        <w:rPr>
          <w:rFonts w:hint="eastAsia" w:ascii="宋体" w:hAnsi="宋体"/>
          <w:sz w:val="24"/>
          <w:szCs w:val="24"/>
        </w:rPr>
        <w:t>约定支付延期交货违约金，且</w:t>
      </w:r>
      <w:r>
        <w:rPr>
          <w:rFonts w:hint="eastAsia" w:ascii="宋体" w:hAnsi="宋体"/>
          <w:sz w:val="24"/>
          <w:szCs w:val="24"/>
          <w:lang w:eastAsia="zh-CN"/>
        </w:rPr>
        <w:t>中标人</w:t>
      </w:r>
      <w:r>
        <w:rPr>
          <w:rFonts w:hint="eastAsia" w:ascii="宋体" w:hAnsi="宋体"/>
          <w:sz w:val="24"/>
          <w:szCs w:val="24"/>
        </w:rPr>
        <w:t>还应向</w:t>
      </w:r>
      <w:r>
        <w:rPr>
          <w:rFonts w:hint="eastAsia" w:ascii="宋体" w:hAnsi="宋体"/>
          <w:sz w:val="24"/>
          <w:szCs w:val="24"/>
          <w:lang w:eastAsia="zh-CN"/>
        </w:rPr>
        <w:t>采购人</w:t>
      </w:r>
      <w:r>
        <w:rPr>
          <w:rFonts w:hint="eastAsia" w:ascii="宋体" w:hAnsi="宋体"/>
          <w:sz w:val="24"/>
          <w:szCs w:val="24"/>
        </w:rPr>
        <w:t>偿付不能交货部分货款的</w:t>
      </w:r>
      <w:r>
        <w:rPr>
          <w:rFonts w:ascii="宋体" w:hAnsi="宋体"/>
          <w:sz w:val="24"/>
          <w:szCs w:val="24"/>
          <w:u w:val="single"/>
        </w:rPr>
        <w:t xml:space="preserve">5 </w:t>
      </w:r>
      <w:r>
        <w:rPr>
          <w:rFonts w:hint="eastAsia" w:ascii="宋体" w:hAnsi="宋体"/>
          <w:sz w:val="24"/>
          <w:szCs w:val="24"/>
        </w:rPr>
        <w:t>％的违约金；违约金不足以补偿损失的，</w:t>
      </w:r>
      <w:r>
        <w:rPr>
          <w:rFonts w:hint="eastAsia" w:ascii="宋体" w:hAnsi="宋体"/>
          <w:sz w:val="24"/>
          <w:szCs w:val="24"/>
          <w:lang w:eastAsia="zh-CN"/>
        </w:rPr>
        <w:t>采购人</w:t>
      </w:r>
      <w:r>
        <w:rPr>
          <w:rFonts w:hint="eastAsia" w:ascii="宋体" w:hAnsi="宋体"/>
          <w:sz w:val="24"/>
          <w:szCs w:val="24"/>
        </w:rPr>
        <w:t>有权要求</w:t>
      </w:r>
      <w:r>
        <w:rPr>
          <w:rFonts w:hint="eastAsia" w:ascii="宋体" w:hAnsi="宋体"/>
          <w:sz w:val="24"/>
          <w:szCs w:val="24"/>
          <w:lang w:eastAsia="zh-CN"/>
        </w:rPr>
        <w:t>中标人</w:t>
      </w:r>
      <w:r>
        <w:rPr>
          <w:rFonts w:hint="eastAsia" w:ascii="宋体" w:hAnsi="宋体"/>
          <w:sz w:val="24"/>
          <w:szCs w:val="24"/>
        </w:rPr>
        <w:t>赔偿损失，且</w:t>
      </w:r>
      <w:r>
        <w:rPr>
          <w:rFonts w:hint="eastAsia" w:ascii="宋体" w:hAnsi="宋体"/>
          <w:sz w:val="24"/>
          <w:szCs w:val="24"/>
          <w:lang w:eastAsia="zh-CN"/>
        </w:rPr>
        <w:t>采购人</w:t>
      </w:r>
      <w:r>
        <w:rPr>
          <w:rFonts w:hint="eastAsia" w:ascii="宋体" w:hAnsi="宋体"/>
          <w:sz w:val="24"/>
          <w:szCs w:val="24"/>
        </w:rPr>
        <w:t>有权从履约保证金中扣除上述费用。</w:t>
      </w:r>
    </w:p>
    <w:p>
      <w:pPr>
        <w:keepNext w:val="0"/>
        <w:keepLines w:val="0"/>
        <w:pageBreakBefore w:val="0"/>
        <w:kinsoku/>
        <w:wordWrap/>
        <w:overflowPunct/>
        <w:topLinePunct w:val="0"/>
        <w:autoSpaceDE/>
        <w:autoSpaceDN/>
        <w:bidi w:val="0"/>
        <w:adjustRightInd w:val="0"/>
        <w:snapToGrid w:val="0"/>
        <w:spacing w:line="400" w:lineRule="atLeast"/>
        <w:ind w:left="2" w:leftChars="1" w:firstLine="480" w:firstLineChars="200"/>
        <w:textAlignment w:val="auto"/>
        <w:rPr>
          <w:rFonts w:ascii="宋体" w:hAnsi="宋体"/>
          <w:sz w:val="24"/>
          <w:szCs w:val="24"/>
        </w:rPr>
      </w:pPr>
      <w:r>
        <w:rPr>
          <w:rFonts w:hint="eastAsia" w:ascii="宋体" w:hAnsi="宋体"/>
          <w:sz w:val="24"/>
          <w:szCs w:val="24"/>
        </w:rPr>
        <w:t xml:space="preserve">4. </w:t>
      </w:r>
      <w:r>
        <w:rPr>
          <w:rFonts w:hint="eastAsia" w:ascii="宋体" w:hAnsi="宋体"/>
          <w:sz w:val="24"/>
          <w:szCs w:val="24"/>
          <w:lang w:eastAsia="zh-CN"/>
        </w:rPr>
        <w:t>采购人</w:t>
      </w:r>
      <w:r>
        <w:rPr>
          <w:rFonts w:hint="eastAsia" w:ascii="宋体" w:hAnsi="宋体"/>
          <w:sz w:val="24"/>
          <w:szCs w:val="24"/>
        </w:rPr>
        <w:t>逾期付款的应按照逾期金额的每日万分之一支付逾期付款违约金，且逾期付款违约金总额不超逾期金额的</w:t>
      </w:r>
      <w:r>
        <w:rPr>
          <w:rFonts w:ascii="宋体" w:hAnsi="宋体"/>
          <w:sz w:val="24"/>
          <w:szCs w:val="24"/>
        </w:rPr>
        <w:t>5</w:t>
      </w:r>
      <w:r>
        <w:rPr>
          <w:rFonts w:hint="eastAsia" w:ascii="宋体" w:hAnsi="宋体"/>
          <w:sz w:val="24"/>
          <w:szCs w:val="24"/>
        </w:rPr>
        <w:t>‰</w:t>
      </w:r>
    </w:p>
    <w:p>
      <w:pPr>
        <w:keepNext w:val="0"/>
        <w:keepLines w:val="0"/>
        <w:pageBreakBefore w:val="0"/>
        <w:kinsoku/>
        <w:wordWrap/>
        <w:overflowPunct/>
        <w:topLinePunct w:val="0"/>
        <w:autoSpaceDE/>
        <w:autoSpaceDN/>
        <w:bidi w:val="0"/>
        <w:spacing w:line="400" w:lineRule="atLeast"/>
        <w:ind w:firstLine="480" w:firstLineChars="200"/>
        <w:textAlignment w:val="auto"/>
        <w:rPr>
          <w:rFonts w:hint="eastAsia"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该招标设备须为全新并均应保证正常工作6年以上，全年设备无故障率应达98%以上，无故障率在98%—90%之间保修期按1：3延长保修期；无故障率在89%—80%之间按1：5延长保修期；无故障率低于80%予以退货。</w:t>
      </w:r>
    </w:p>
    <w:p>
      <w:pPr>
        <w:keepNext w:val="0"/>
        <w:keepLines w:val="0"/>
        <w:pageBreakBefore w:val="0"/>
        <w:kinsoku/>
        <w:wordWrap/>
        <w:overflowPunct/>
        <w:topLinePunct w:val="0"/>
        <w:autoSpaceDE/>
        <w:autoSpaceDN/>
        <w:bidi w:val="0"/>
        <w:spacing w:line="400" w:lineRule="atLeast"/>
        <w:ind w:firstLine="480" w:firstLineChars="200"/>
        <w:textAlignment w:val="auto"/>
        <w:rPr>
          <w:rFonts w:hint="eastAsia" w:ascii="宋体" w:hAnsi="宋体"/>
          <w:sz w:val="24"/>
          <w:szCs w:val="24"/>
        </w:rPr>
      </w:pPr>
      <w:r>
        <w:rPr>
          <w:rFonts w:hint="eastAsia" w:ascii="宋体" w:hAnsi="宋体"/>
          <w:sz w:val="24"/>
          <w:szCs w:val="24"/>
          <w:lang w:val="en-US" w:eastAsia="zh-CN"/>
        </w:rPr>
        <w:t xml:space="preserve">6. </w:t>
      </w:r>
      <w:r>
        <w:rPr>
          <w:rFonts w:hint="eastAsia" w:ascii="宋体" w:hAnsi="宋体"/>
          <w:sz w:val="24"/>
          <w:szCs w:val="24"/>
        </w:rPr>
        <w:t>结合安装调试，</w:t>
      </w:r>
      <w:r>
        <w:rPr>
          <w:rFonts w:hint="eastAsia" w:ascii="宋体" w:hAnsi="宋体"/>
          <w:sz w:val="24"/>
          <w:szCs w:val="24"/>
          <w:lang w:eastAsia="zh-CN"/>
        </w:rPr>
        <w:t>中标人</w:t>
      </w:r>
      <w:r>
        <w:rPr>
          <w:rFonts w:hint="eastAsia" w:ascii="宋体" w:hAnsi="宋体"/>
          <w:sz w:val="24"/>
          <w:szCs w:val="24"/>
        </w:rPr>
        <w:t>专业技术人员应对</w:t>
      </w:r>
      <w:r>
        <w:rPr>
          <w:rFonts w:hint="eastAsia" w:ascii="宋体" w:hAnsi="宋体"/>
          <w:sz w:val="24"/>
          <w:szCs w:val="24"/>
          <w:lang w:eastAsia="zh-CN"/>
        </w:rPr>
        <w:t>采购人</w:t>
      </w:r>
      <w:r>
        <w:rPr>
          <w:rFonts w:hint="eastAsia" w:ascii="宋体" w:hAnsi="宋体"/>
          <w:sz w:val="24"/>
          <w:szCs w:val="24"/>
        </w:rPr>
        <w:t>的技术人员进行使用操作、设备维修、保养等技术的现场培训，直至</w:t>
      </w:r>
      <w:r>
        <w:rPr>
          <w:rFonts w:hint="eastAsia" w:ascii="宋体" w:hAnsi="宋体"/>
          <w:sz w:val="24"/>
          <w:szCs w:val="24"/>
          <w:lang w:eastAsia="zh-CN"/>
        </w:rPr>
        <w:t>采购人</w:t>
      </w:r>
      <w:r>
        <w:rPr>
          <w:rFonts w:hint="eastAsia" w:ascii="宋体" w:hAnsi="宋体"/>
          <w:sz w:val="24"/>
          <w:szCs w:val="24"/>
        </w:rPr>
        <w:t>的技术人员能熟练独立工作；</w:t>
      </w:r>
      <w:r>
        <w:rPr>
          <w:rFonts w:hint="eastAsia" w:ascii="宋体" w:hAnsi="宋体"/>
          <w:sz w:val="24"/>
          <w:szCs w:val="24"/>
          <w:lang w:eastAsia="zh-CN"/>
        </w:rPr>
        <w:t>中标人</w:t>
      </w:r>
      <w:r>
        <w:rPr>
          <w:rFonts w:hint="eastAsia" w:ascii="宋体" w:hAnsi="宋体"/>
          <w:sz w:val="24"/>
          <w:szCs w:val="24"/>
        </w:rPr>
        <w:t>委派的专业技术人员所需费用均由</w:t>
      </w:r>
      <w:r>
        <w:rPr>
          <w:rFonts w:hint="eastAsia" w:ascii="宋体" w:hAnsi="宋体"/>
          <w:sz w:val="24"/>
          <w:szCs w:val="24"/>
          <w:lang w:eastAsia="zh-CN"/>
        </w:rPr>
        <w:t>中标人</w:t>
      </w:r>
      <w:r>
        <w:rPr>
          <w:rFonts w:hint="eastAsia" w:ascii="宋体" w:hAnsi="宋体"/>
          <w:sz w:val="24"/>
          <w:szCs w:val="24"/>
        </w:rPr>
        <w:t>承担。</w:t>
      </w:r>
    </w:p>
    <w:p>
      <w:pPr>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ascii="宋体" w:hAnsi="宋体"/>
          <w:sz w:val="24"/>
          <w:szCs w:val="24"/>
          <w:lang w:val="en-US" w:eastAsia="zh-CN"/>
        </w:rPr>
        <w:t xml:space="preserve">7. </w:t>
      </w:r>
      <w:r>
        <w:rPr>
          <w:rFonts w:hint="eastAsia" w:hAnsi="宋体"/>
          <w:sz w:val="24"/>
          <w:szCs w:val="24"/>
          <w:lang w:eastAsia="zh-CN"/>
        </w:rPr>
        <w:t>中标人</w:t>
      </w:r>
      <w:r>
        <w:rPr>
          <w:rFonts w:hint="eastAsia" w:hAnsi="宋体"/>
          <w:sz w:val="24"/>
          <w:szCs w:val="24"/>
        </w:rPr>
        <w:t>应向</w:t>
      </w:r>
      <w:r>
        <w:rPr>
          <w:rFonts w:hint="eastAsia" w:hAnsi="宋体"/>
          <w:sz w:val="24"/>
          <w:szCs w:val="24"/>
          <w:lang w:eastAsia="zh-CN"/>
        </w:rPr>
        <w:t>采购人</w:t>
      </w:r>
      <w:r>
        <w:rPr>
          <w:rFonts w:hint="eastAsia" w:hAnsi="宋体"/>
          <w:sz w:val="24"/>
          <w:szCs w:val="24"/>
        </w:rPr>
        <w:t>提供以下中文技术资料1套，其费用包括在投标价格中：</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7.1设备的出厂检验报告</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7.2合格证书</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7.3装箱单</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7.4产品验收标准（含产品合格证验收清单等）</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7.5技术说明书</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7.6使用说明书</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7.7安装、维修及操作手册,公开维修密码,软件备份光盘</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7.8零部件目录</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7.9配置清单、分项价格及耗材价格</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7.10备品备件易耗件清单</w:t>
      </w:r>
    </w:p>
    <w:p>
      <w:pPr>
        <w:pStyle w:val="11"/>
        <w:keepNext w:val="0"/>
        <w:keepLines w:val="0"/>
        <w:pageBreakBefore w:val="0"/>
        <w:kinsoku/>
        <w:wordWrap/>
        <w:overflowPunct/>
        <w:topLinePunct w:val="0"/>
        <w:autoSpaceDE/>
        <w:autoSpaceDN/>
        <w:bidi w:val="0"/>
        <w:spacing w:line="400" w:lineRule="atLeast"/>
        <w:ind w:firstLine="480" w:firstLineChars="200"/>
        <w:textAlignment w:val="auto"/>
        <w:rPr>
          <w:rFonts w:hint="eastAsia" w:hAnsi="宋体"/>
          <w:sz w:val="24"/>
          <w:szCs w:val="24"/>
        </w:rPr>
      </w:pPr>
      <w:r>
        <w:rPr>
          <w:rFonts w:hint="eastAsia" w:hAnsi="宋体"/>
          <w:sz w:val="24"/>
          <w:szCs w:val="24"/>
        </w:rPr>
        <w:t>7.11合同中要求的其他文件资料。</w:t>
      </w:r>
    </w:p>
    <w:p>
      <w:pPr>
        <w:pStyle w:val="11"/>
        <w:keepNext w:val="0"/>
        <w:keepLines w:val="0"/>
        <w:pageBreakBefore w:val="0"/>
        <w:numPr>
          <w:ilvl w:val="0"/>
          <w:numId w:val="1"/>
        </w:numPr>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专用工具</w:t>
      </w:r>
      <w:r>
        <w:rPr>
          <w:rFonts w:hint="eastAsia" w:hAnsi="宋体"/>
          <w:sz w:val="24"/>
          <w:szCs w:val="24"/>
          <w:lang w:eastAsia="zh-CN"/>
        </w:rPr>
        <w:t>：中标人</w:t>
      </w:r>
      <w:r>
        <w:rPr>
          <w:rFonts w:hint="eastAsia" w:hAnsi="宋体"/>
          <w:sz w:val="24"/>
          <w:szCs w:val="24"/>
        </w:rPr>
        <w:t>应提供一套维修所需的专用工具及其清单。</w:t>
      </w:r>
    </w:p>
    <w:p>
      <w:pPr>
        <w:pStyle w:val="11"/>
        <w:keepNext w:val="0"/>
        <w:keepLines w:val="0"/>
        <w:pageBreakBefore w:val="0"/>
        <w:numPr>
          <w:ilvl w:val="0"/>
          <w:numId w:val="1"/>
        </w:numPr>
        <w:kinsoku/>
        <w:wordWrap/>
        <w:overflowPunct/>
        <w:topLinePunct w:val="0"/>
        <w:autoSpaceDE/>
        <w:autoSpaceDN/>
        <w:bidi w:val="0"/>
        <w:spacing w:line="400" w:lineRule="atLeast"/>
        <w:ind w:firstLine="480" w:firstLineChars="200"/>
        <w:textAlignment w:val="auto"/>
        <w:rPr>
          <w:rFonts w:hAnsi="宋体"/>
          <w:b/>
          <w:bCs/>
          <w:sz w:val="24"/>
          <w:szCs w:val="24"/>
        </w:rPr>
      </w:pPr>
      <w:r>
        <w:rPr>
          <w:rFonts w:hint="eastAsia" w:hAnsi="宋体"/>
          <w:sz w:val="24"/>
          <w:szCs w:val="24"/>
        </w:rPr>
        <w:t>备品备件</w:t>
      </w:r>
      <w:r>
        <w:rPr>
          <w:rFonts w:hint="eastAsia" w:hAnsi="宋体"/>
          <w:sz w:val="24"/>
          <w:szCs w:val="24"/>
          <w:lang w:eastAsia="zh-CN"/>
        </w:rPr>
        <w:t>：</w:t>
      </w:r>
      <w:r>
        <w:rPr>
          <w:rFonts w:hint="eastAsia" w:hAnsi="宋体"/>
          <w:b/>
          <w:bCs/>
          <w:sz w:val="24"/>
          <w:szCs w:val="24"/>
          <w:lang w:eastAsia="zh-CN"/>
        </w:rPr>
        <w:t>中标人</w:t>
      </w:r>
      <w:r>
        <w:rPr>
          <w:rFonts w:hint="eastAsia" w:hAnsi="宋体"/>
          <w:b/>
          <w:bCs/>
          <w:sz w:val="24"/>
          <w:szCs w:val="24"/>
        </w:rPr>
        <w:t>应提供设备在质量保证期过后一年内主要备品备件及其清单（含价格清单），如涉及使用易耗品及材料应提供其市场报价及供货价。</w:t>
      </w:r>
    </w:p>
    <w:p>
      <w:pPr>
        <w:keepNext w:val="0"/>
        <w:keepLines w:val="0"/>
        <w:pageBreakBefore w:val="0"/>
        <w:numPr>
          <w:ilvl w:val="0"/>
          <w:numId w:val="0"/>
        </w:numPr>
        <w:kinsoku/>
        <w:wordWrap/>
        <w:overflowPunct/>
        <w:topLinePunct w:val="0"/>
        <w:autoSpaceDE/>
        <w:autoSpaceDN/>
        <w:bidi w:val="0"/>
        <w:spacing w:line="400" w:lineRule="atLeast"/>
        <w:ind w:leftChars="200"/>
        <w:textAlignment w:val="auto"/>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验收标准和验收方法：</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 验收方法：</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.2.1 出厂检验：</w:t>
      </w:r>
      <w:r>
        <w:rPr>
          <w:rFonts w:hint="eastAsia" w:ascii="宋体" w:hAnsi="宋体"/>
          <w:sz w:val="24"/>
          <w:szCs w:val="24"/>
          <w:lang w:eastAsia="zh-CN"/>
        </w:rPr>
        <w:t>中标人</w:t>
      </w:r>
      <w:r>
        <w:rPr>
          <w:rFonts w:hint="eastAsia" w:ascii="宋体" w:hAnsi="宋体"/>
          <w:sz w:val="24"/>
          <w:szCs w:val="24"/>
        </w:rPr>
        <w:t>应提供货物制造厂的出厂检验报告、合格证书、装箱单。</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.2.2 进口商检：若进口货物</w:t>
      </w:r>
      <w:r>
        <w:rPr>
          <w:rFonts w:hint="eastAsia" w:ascii="宋体" w:hAnsi="宋体"/>
          <w:sz w:val="24"/>
          <w:szCs w:val="24"/>
          <w:lang w:eastAsia="zh-CN"/>
        </w:rPr>
        <w:t>中标人</w:t>
      </w:r>
      <w:r>
        <w:rPr>
          <w:rFonts w:hint="eastAsia" w:ascii="宋体" w:hAnsi="宋体"/>
          <w:sz w:val="24"/>
          <w:szCs w:val="24"/>
        </w:rPr>
        <w:t>应提供进口的有关证明，包括货物的产地、品牌及装运港等与投标文件相一致的证明材料</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.2.3 安装调试检验：设备安装、调试过程，</w:t>
      </w:r>
      <w:r>
        <w:rPr>
          <w:rFonts w:hint="eastAsia" w:ascii="宋体" w:hAnsi="宋体"/>
          <w:sz w:val="24"/>
          <w:szCs w:val="24"/>
          <w:lang w:eastAsia="zh-CN"/>
        </w:rPr>
        <w:t>中标人</w:t>
      </w:r>
      <w:r>
        <w:rPr>
          <w:rFonts w:hint="eastAsia" w:ascii="宋体" w:hAnsi="宋体"/>
          <w:sz w:val="24"/>
          <w:szCs w:val="24"/>
        </w:rPr>
        <w:t>应作详细检验记录。安装调试检验结果应符合制造厂产品标准和招标文件的规定。检验记录应真实并提供给</w:t>
      </w:r>
      <w:r>
        <w:rPr>
          <w:rFonts w:hint="eastAsia" w:ascii="宋体" w:hAnsi="宋体"/>
          <w:sz w:val="24"/>
          <w:szCs w:val="24"/>
          <w:lang w:eastAsia="zh-CN"/>
        </w:rPr>
        <w:t>采购人</w:t>
      </w:r>
      <w:r>
        <w:rPr>
          <w:rFonts w:hint="eastAsia" w:ascii="宋体" w:hAnsi="宋体"/>
          <w:sz w:val="24"/>
          <w:szCs w:val="24"/>
        </w:rPr>
        <w:t>。</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.2.4 最终验收：设备安装、调试结束后</w:t>
      </w:r>
      <w:r>
        <w:rPr>
          <w:rFonts w:hint="eastAsia" w:ascii="宋体" w:hAnsi="宋体"/>
          <w:sz w:val="24"/>
          <w:szCs w:val="24"/>
          <w:lang w:eastAsia="zh-CN"/>
        </w:rPr>
        <w:t>中标人</w:t>
      </w:r>
      <w:r>
        <w:rPr>
          <w:rFonts w:hint="eastAsia" w:ascii="宋体" w:hAnsi="宋体"/>
          <w:sz w:val="24"/>
          <w:szCs w:val="24"/>
        </w:rPr>
        <w:t>负责并会同</w:t>
      </w:r>
      <w:r>
        <w:rPr>
          <w:rFonts w:hint="eastAsia" w:ascii="宋体" w:hAnsi="宋体"/>
          <w:sz w:val="24"/>
          <w:szCs w:val="24"/>
          <w:lang w:eastAsia="zh-CN"/>
        </w:rPr>
        <w:t>采购人</w:t>
      </w:r>
      <w:r>
        <w:rPr>
          <w:rFonts w:hint="eastAsia" w:ascii="宋体" w:hAnsi="宋体"/>
          <w:sz w:val="24"/>
          <w:szCs w:val="24"/>
        </w:rPr>
        <w:t>及有关专家按1</w:t>
      </w:r>
      <w:r>
        <w:rPr>
          <w:rFonts w:ascii="宋体" w:hAnsi="宋体"/>
          <w:sz w:val="24"/>
          <w:szCs w:val="24"/>
        </w:rPr>
        <w:t>0</w:t>
      </w:r>
      <w:r>
        <w:rPr>
          <w:rFonts w:hint="eastAsia" w:ascii="宋体" w:hAnsi="宋体"/>
          <w:sz w:val="24"/>
          <w:szCs w:val="24"/>
        </w:rPr>
        <w:t>.1款验收标准进行联合验收。需有</w:t>
      </w:r>
      <w:r>
        <w:rPr>
          <w:rFonts w:hint="eastAsia" w:ascii="宋体" w:hAnsi="宋体"/>
          <w:sz w:val="24"/>
          <w:szCs w:val="24"/>
          <w:lang w:eastAsia="zh-CN"/>
        </w:rPr>
        <w:t>采购人</w:t>
      </w:r>
      <w:r>
        <w:rPr>
          <w:rFonts w:hint="eastAsia" w:ascii="宋体" w:hAnsi="宋体"/>
          <w:sz w:val="24"/>
          <w:szCs w:val="24"/>
        </w:rPr>
        <w:t>的设备安装验收报告单、且必须经</w:t>
      </w:r>
      <w:r>
        <w:rPr>
          <w:rFonts w:hint="eastAsia" w:ascii="宋体" w:hAnsi="宋体"/>
          <w:sz w:val="24"/>
          <w:szCs w:val="24"/>
          <w:lang w:eastAsia="zh-CN"/>
        </w:rPr>
        <w:t>采购人</w:t>
      </w:r>
      <w:r>
        <w:rPr>
          <w:rFonts w:hint="eastAsia" w:ascii="宋体" w:hAnsi="宋体"/>
          <w:sz w:val="24"/>
          <w:szCs w:val="24"/>
        </w:rPr>
        <w:t>设备与医用材料管理处工程师和设备使用科室负责人在验收报告单上签字，即为验收完成。保修期从</w:t>
      </w:r>
      <w:r>
        <w:rPr>
          <w:rFonts w:hint="eastAsia" w:ascii="宋体" w:hAnsi="宋体"/>
          <w:sz w:val="24"/>
          <w:szCs w:val="24"/>
          <w:lang w:eastAsia="zh-CN"/>
        </w:rPr>
        <w:t>采购人</w:t>
      </w:r>
      <w:r>
        <w:rPr>
          <w:rFonts w:hint="eastAsia" w:ascii="宋体" w:hAnsi="宋体"/>
          <w:sz w:val="24"/>
          <w:szCs w:val="24"/>
        </w:rPr>
        <w:t>设备安装验收报告单签署时间算起。</w:t>
      </w:r>
    </w:p>
    <w:p>
      <w:pPr>
        <w:pStyle w:val="11"/>
        <w:keepNext w:val="0"/>
        <w:keepLines w:val="0"/>
        <w:pageBreakBefore w:val="0"/>
        <w:tabs>
          <w:tab w:val="left" w:pos="627"/>
        </w:tabs>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 质量保证期及维修服务</w:t>
      </w:r>
    </w:p>
    <w:p>
      <w:pPr>
        <w:pStyle w:val="11"/>
        <w:keepNext w:val="0"/>
        <w:keepLines w:val="0"/>
        <w:pageBreakBefore w:val="0"/>
        <w:tabs>
          <w:tab w:val="left" w:pos="627"/>
        </w:tabs>
        <w:kinsoku/>
        <w:wordWrap/>
        <w:overflowPunct/>
        <w:topLinePunct w:val="0"/>
        <w:autoSpaceDE/>
        <w:autoSpaceDN/>
        <w:bidi w:val="0"/>
        <w:spacing w:line="400" w:lineRule="atLeast"/>
        <w:ind w:firstLine="480" w:firstLineChars="200"/>
        <w:textAlignment w:val="auto"/>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.1本次投标的产品保修</w:t>
      </w:r>
      <w:r>
        <w:rPr>
          <w:rFonts w:hint="eastAsia" w:hAnsi="宋体"/>
          <w:sz w:val="24"/>
          <w:szCs w:val="24"/>
          <w:highlight w:val="yellow"/>
        </w:rPr>
        <w:t>≥2年</w:t>
      </w:r>
      <w:r>
        <w:rPr>
          <w:rFonts w:hint="eastAsia" w:hAnsi="宋体"/>
          <w:sz w:val="24"/>
          <w:szCs w:val="24"/>
        </w:rPr>
        <w:t>。需提供原厂保修、终身维修；</w:t>
      </w:r>
      <w:r>
        <w:rPr>
          <w:rFonts w:hint="eastAsia" w:hAnsi="宋体"/>
          <w:kern w:val="0"/>
          <w:sz w:val="24"/>
          <w:szCs w:val="24"/>
        </w:rPr>
        <w:t>投标人应提供所投产品的售后服务承诺书及所投产品售后服务的单位（承诺由所投产品售后服务单位&lt;该产品的专业维修机构、生产厂家、生产厂家分公司或办事处等&gt;提供售后服务&lt;包含服务条款、保修年限等&gt;）。保修期不满足要求或未提供售后服务承诺书的视为未实质性响应招标文件。</w:t>
      </w:r>
    </w:p>
    <w:p>
      <w:pPr>
        <w:pStyle w:val="12"/>
        <w:keepNext w:val="0"/>
        <w:keepLines w:val="0"/>
        <w:pageBreakBefore w:val="0"/>
        <w:widowControl/>
        <w:tabs>
          <w:tab w:val="left" w:pos="0"/>
        </w:tabs>
        <w:kinsoku/>
        <w:wordWrap/>
        <w:overflowPunct/>
        <w:topLinePunct w:val="0"/>
        <w:autoSpaceDE/>
        <w:autoSpaceDN/>
        <w:bidi w:val="0"/>
        <w:adjustRightInd w:val="0"/>
        <w:spacing w:line="400" w:lineRule="atLeast"/>
        <w:ind w:right="206" w:rightChars="98" w:firstLine="480" w:firstLineChars="200"/>
        <w:jc w:val="left"/>
        <w:textAlignment w:val="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.2故障响应时间：产品生产厂家在国内设有正规维修站，确保仪器运行正常（列出维修公司地址、人员名单及联系电话）。</w:t>
      </w:r>
    </w:p>
    <w:p>
      <w:pPr>
        <w:pStyle w:val="12"/>
        <w:keepNext w:val="0"/>
        <w:keepLines w:val="0"/>
        <w:pageBreakBefore w:val="0"/>
        <w:widowControl/>
        <w:tabs>
          <w:tab w:val="left" w:pos="0"/>
        </w:tabs>
        <w:kinsoku/>
        <w:wordWrap/>
        <w:overflowPunct/>
        <w:topLinePunct w:val="0"/>
        <w:autoSpaceDE/>
        <w:autoSpaceDN/>
        <w:bidi w:val="0"/>
        <w:adjustRightInd w:val="0"/>
        <w:spacing w:line="400" w:lineRule="atLeast"/>
        <w:ind w:right="206" w:rightChars="98" w:firstLine="480" w:firstLineChars="200"/>
        <w:jc w:val="left"/>
        <w:textAlignment w:val="auto"/>
        <w:rPr>
          <w:rFonts w:ascii="宋体" w:hAnsi="宋体"/>
          <w:color w:val="FF0000"/>
          <w:sz w:val="24"/>
          <w:szCs w:val="24"/>
        </w:rPr>
      </w:pPr>
      <w:r>
        <w:rPr>
          <w:rFonts w:hint="eastAsia" w:ascii="宋体" w:hAnsi="宋体"/>
          <w:sz w:val="24"/>
          <w:szCs w:val="24"/>
        </w:rPr>
        <w:t>a.在质量保证期内设备运行发生故障时，</w:t>
      </w:r>
      <w:r>
        <w:rPr>
          <w:rFonts w:hint="eastAsia" w:ascii="宋体" w:hAnsi="宋体"/>
          <w:sz w:val="24"/>
          <w:szCs w:val="24"/>
          <w:lang w:eastAsia="zh-CN"/>
        </w:rPr>
        <w:t>中标人</w:t>
      </w:r>
      <w:r>
        <w:rPr>
          <w:rFonts w:hint="eastAsia" w:ascii="宋体" w:hAnsi="宋体"/>
          <w:sz w:val="24"/>
          <w:szCs w:val="24"/>
        </w:rPr>
        <w:t>在接到</w:t>
      </w:r>
      <w:r>
        <w:rPr>
          <w:rFonts w:hint="eastAsia" w:ascii="宋体" w:hAnsi="宋体"/>
          <w:sz w:val="24"/>
          <w:szCs w:val="24"/>
          <w:lang w:eastAsia="zh-CN"/>
        </w:rPr>
        <w:t>采购人</w:t>
      </w:r>
      <w:r>
        <w:rPr>
          <w:rFonts w:hint="eastAsia" w:ascii="宋体" w:hAnsi="宋体"/>
          <w:sz w:val="24"/>
          <w:szCs w:val="24"/>
        </w:rPr>
        <w:t>故障通知后须给予明确的答复，并在</w:t>
      </w:r>
      <w:r>
        <w:rPr>
          <w:rFonts w:hint="eastAsia" w:ascii="宋体" w:hAnsi="宋体"/>
          <w:sz w:val="24"/>
          <w:szCs w:val="24"/>
          <w:u w:val="single"/>
        </w:rPr>
        <w:t>12</w:t>
      </w:r>
      <w:r>
        <w:rPr>
          <w:rFonts w:hint="eastAsia" w:ascii="宋体" w:hAnsi="宋体"/>
          <w:sz w:val="24"/>
          <w:szCs w:val="24"/>
        </w:rPr>
        <w:t>小时内应委派专业技术人员到现场提供咨询、维修和更换零部件等服务，并及时填写维修报告（包括故障原因、处理情况及</w:t>
      </w:r>
      <w:r>
        <w:rPr>
          <w:rFonts w:hint="eastAsia" w:ascii="宋体" w:hAnsi="宋体"/>
          <w:sz w:val="24"/>
          <w:szCs w:val="24"/>
          <w:lang w:eastAsia="zh-CN"/>
        </w:rPr>
        <w:t>采购人</w:t>
      </w:r>
      <w:r>
        <w:rPr>
          <w:rFonts w:hint="eastAsia" w:ascii="宋体" w:hAnsi="宋体"/>
          <w:sz w:val="24"/>
          <w:szCs w:val="24"/>
        </w:rPr>
        <w:t>意见等）报</w:t>
      </w:r>
      <w:r>
        <w:rPr>
          <w:rFonts w:hint="eastAsia" w:ascii="宋体" w:hAnsi="宋体"/>
          <w:sz w:val="24"/>
          <w:szCs w:val="24"/>
          <w:lang w:eastAsia="zh-CN"/>
        </w:rPr>
        <w:t>采购人</w:t>
      </w:r>
      <w:r>
        <w:rPr>
          <w:rFonts w:hint="eastAsia" w:ascii="宋体" w:hAnsi="宋体"/>
          <w:sz w:val="24"/>
          <w:szCs w:val="24"/>
        </w:rPr>
        <w:t>备案，</w:t>
      </w:r>
      <w:r>
        <w:rPr>
          <w:rFonts w:hint="eastAsia" w:ascii="宋体" w:hAnsi="宋体"/>
          <w:color w:val="000000"/>
          <w:sz w:val="24"/>
          <w:szCs w:val="24"/>
        </w:rPr>
        <w:t>若</w:t>
      </w:r>
      <w:r>
        <w:rPr>
          <w:rFonts w:hint="eastAsia" w:ascii="宋体" w:hAnsi="宋体"/>
          <w:color w:val="000000"/>
          <w:sz w:val="24"/>
          <w:szCs w:val="24"/>
          <w:u w:val="single"/>
        </w:rPr>
        <w:t xml:space="preserve"> </w:t>
      </w:r>
      <w:r>
        <w:rPr>
          <w:rFonts w:ascii="宋体" w:hAnsi="宋体"/>
          <w:color w:val="000000"/>
          <w:sz w:val="24"/>
          <w:szCs w:val="24"/>
          <w:u w:val="single"/>
        </w:rPr>
        <w:t>20</w:t>
      </w:r>
      <w:r>
        <w:rPr>
          <w:rFonts w:hint="eastAsia" w:ascii="宋体" w:hAnsi="宋体"/>
          <w:color w:val="000000"/>
          <w:sz w:val="24"/>
          <w:szCs w:val="24"/>
          <w:u w:val="single"/>
        </w:rPr>
        <w:t xml:space="preserve"> </w:t>
      </w:r>
      <w:r>
        <w:rPr>
          <w:rFonts w:hint="eastAsia" w:ascii="宋体" w:hAnsi="宋体"/>
          <w:color w:val="000000"/>
          <w:sz w:val="24"/>
          <w:szCs w:val="24"/>
        </w:rPr>
        <w:t>天内无法排除故障，则应先提供同档次备用机供</w:t>
      </w:r>
      <w:r>
        <w:rPr>
          <w:rFonts w:hint="eastAsia" w:ascii="宋体" w:hAnsi="宋体"/>
          <w:color w:val="000000"/>
          <w:sz w:val="24"/>
          <w:szCs w:val="24"/>
          <w:lang w:eastAsia="zh-CN"/>
        </w:rPr>
        <w:t>采购人</w:t>
      </w:r>
      <w:r>
        <w:rPr>
          <w:rFonts w:hint="eastAsia" w:ascii="宋体" w:hAnsi="宋体"/>
          <w:color w:val="000000"/>
          <w:sz w:val="24"/>
          <w:szCs w:val="24"/>
        </w:rPr>
        <w:t>使用。其中发生一切费用由</w:t>
      </w:r>
      <w:r>
        <w:rPr>
          <w:rFonts w:hint="eastAsia" w:ascii="宋体" w:hAnsi="宋体"/>
          <w:color w:val="000000"/>
          <w:sz w:val="24"/>
          <w:szCs w:val="24"/>
          <w:lang w:eastAsia="zh-CN"/>
        </w:rPr>
        <w:t>中标人</w:t>
      </w:r>
      <w:r>
        <w:rPr>
          <w:rFonts w:hint="eastAsia" w:ascii="宋体" w:hAnsi="宋体"/>
          <w:color w:val="000000"/>
          <w:sz w:val="24"/>
          <w:szCs w:val="24"/>
        </w:rPr>
        <w:t>承担。</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b/>
          <w:sz w:val="24"/>
          <w:szCs w:val="24"/>
        </w:rPr>
      </w:pPr>
      <w:r>
        <w:rPr>
          <w:rFonts w:hint="eastAsia" w:ascii="宋体" w:hAnsi="宋体"/>
          <w:sz w:val="24"/>
          <w:szCs w:val="24"/>
        </w:rPr>
        <w:t>b. 保修期满后，</w:t>
      </w:r>
      <w:r>
        <w:rPr>
          <w:rFonts w:hint="eastAsia" w:ascii="宋体" w:hAnsi="宋体"/>
          <w:sz w:val="24"/>
          <w:szCs w:val="24"/>
          <w:lang w:eastAsia="zh-CN"/>
        </w:rPr>
        <w:t>中标人</w:t>
      </w:r>
      <w:r>
        <w:rPr>
          <w:rFonts w:hint="eastAsia" w:ascii="宋体" w:hAnsi="宋体"/>
          <w:sz w:val="24"/>
          <w:szCs w:val="24"/>
        </w:rPr>
        <w:t>负责仪器的终身维修并应继续提供优惠、优质的服务。储备足够的零配件备库，并以小于报价80%的扣率予以优惠供应维修零配件。消耗品的供应，应由双方另设协议决定。</w:t>
      </w:r>
      <w:r>
        <w:rPr>
          <w:rFonts w:hint="eastAsia" w:ascii="宋体" w:hAnsi="宋体"/>
          <w:b/>
          <w:bCs/>
          <w:sz w:val="24"/>
          <w:szCs w:val="24"/>
        </w:rPr>
        <w:t>列出消耗品价格清单并保证二年不变，以后如有变化，每年幅度不超过5%。产品</w:t>
      </w:r>
      <w:r>
        <w:rPr>
          <w:rFonts w:hint="eastAsia" w:ascii="宋体" w:hAnsi="宋体"/>
          <w:b/>
          <w:sz w:val="24"/>
          <w:szCs w:val="24"/>
        </w:rPr>
        <w:t>提供终身的软件升级,提供硬件升级折扣，投标价一年内有效。</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bCs/>
          <w:sz w:val="24"/>
          <w:szCs w:val="24"/>
        </w:rPr>
        <w:t>c.</w:t>
      </w:r>
      <w:r>
        <w:rPr>
          <w:rFonts w:hint="eastAsia"/>
          <w:sz w:val="24"/>
          <w:szCs w:val="24"/>
        </w:rPr>
        <w:t xml:space="preserve"> </w:t>
      </w:r>
      <w:r>
        <w:rPr>
          <w:rFonts w:hint="eastAsia" w:ascii="宋体" w:hAnsi="宋体"/>
          <w:sz w:val="24"/>
          <w:szCs w:val="24"/>
        </w:rPr>
        <w:t>投标的医疗设备应开放数据接口并提供数据集中存储的能力，协助医院信息部门实现医院患者信息数据的统一管理（其费用包含在投标报价中)。</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 本标书中未明之处，欢迎进行必要的咨询和详细补充说明。</w:t>
      </w:r>
    </w:p>
    <w:p>
      <w:pPr>
        <w:keepNext w:val="0"/>
        <w:keepLines w:val="0"/>
        <w:pageBreakBefore w:val="0"/>
        <w:kinsoku/>
        <w:wordWrap/>
        <w:overflowPunct/>
        <w:topLinePunct w:val="0"/>
        <w:autoSpaceDE/>
        <w:autoSpaceDN/>
        <w:bidi w:val="0"/>
        <w:spacing w:line="400" w:lineRule="atLeast"/>
        <w:ind w:firstLine="482" w:firstLineChars="200"/>
        <w:textAlignment w:val="auto"/>
        <w:rPr>
          <w:rFonts w:ascii="宋体" w:hAnsi="宋体"/>
          <w:b/>
          <w:sz w:val="24"/>
          <w:szCs w:val="24"/>
        </w:rPr>
      </w:pPr>
      <w:r>
        <w:rPr>
          <w:rFonts w:hint="eastAsia" w:ascii="宋体" w:hAnsi="宋体"/>
          <w:b/>
          <w:sz w:val="24"/>
          <w:szCs w:val="24"/>
          <w:lang w:val="en-US" w:eastAsia="zh-CN"/>
        </w:rPr>
        <w:t xml:space="preserve">13. </w:t>
      </w:r>
      <w:r>
        <w:rPr>
          <w:rFonts w:hint="eastAsia" w:ascii="宋体" w:hAnsi="宋体"/>
          <w:b/>
          <w:sz w:val="24"/>
          <w:szCs w:val="24"/>
        </w:rPr>
        <w:t>其他：</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lang w:val="en-US" w:eastAsia="zh-CN"/>
        </w:rPr>
        <w:t xml:space="preserve">13.1 </w:t>
      </w:r>
      <w:r>
        <w:rPr>
          <w:rFonts w:hint="eastAsia" w:ascii="宋体" w:hAnsi="宋体"/>
          <w:sz w:val="24"/>
          <w:szCs w:val="24"/>
        </w:rPr>
        <w:t>投标人应提供其投标货物的产品介绍彩册（页），或提供有效的国际认证机构的证明材料。招标人有权要求投标人提供最新的原版Data Sheet技术资料（技术白皮书）。若有虚假应标，一经查出即作废标处理。</w:t>
      </w:r>
    </w:p>
    <w:p>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sz w:val="24"/>
          <w:szCs w:val="24"/>
        </w:rPr>
      </w:pPr>
      <w:r>
        <w:rPr>
          <w:rFonts w:hint="eastAsia" w:ascii="宋体" w:hAnsi="宋体"/>
          <w:sz w:val="24"/>
          <w:szCs w:val="24"/>
          <w:lang w:val="en-US" w:eastAsia="zh-CN"/>
        </w:rPr>
        <w:t xml:space="preserve">13.2 </w:t>
      </w:r>
      <w:r>
        <w:rPr>
          <w:rFonts w:hint="eastAsia" w:ascii="宋体" w:hAnsi="宋体"/>
          <w:sz w:val="24"/>
          <w:szCs w:val="24"/>
        </w:rPr>
        <w:t>列明选配件清单及单价（如有时）。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atLeast"/>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四、其他事项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1、除招标文件另有规定外，若出现有关法律、法规和规章有强制性规定但招标文件未列明的情形，则投标人应按照有关法律、法规和规章强制性规定执行。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2、其他：</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b/>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第六章 政府采购合同</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参考文本</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合同编号：</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福建省政府采购合同（货物类）</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编制说明</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1.签订合同应遵守《中华人民共和国政府采购法》及其实施条例、《中华人民共和国民法典》等法律法规及其他有关规定。</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3.政府有关主管部门对若干合同有规范文本的，可使用相应合同文本。</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4.本合同范本仅供参考，采购人应当根据采购项目的实际需求对合同条款进行修改、补充。</w:t>
      </w:r>
    </w:p>
    <w:p>
      <w:pPr>
        <w:pStyle w:val="10"/>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甲方：___________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住所地：___________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联系人：___________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联系电话：___________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传真：___________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电子邮箱：___________</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乙方：___________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住所地：___________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联系人：___________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联系电话：___________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传真：___________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电子邮箱：___________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根据项目编号为________的___________项目（以下简称：“本项目”）的采购结果，遵循平等、自愿、公平和诚实信用的原则，双方签署本合同，具体内容如下：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一、合同组成部分</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1.1本合同条款及附件；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1.2采购文件及其附件、补充文件；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1.3乙方的响应文件及其附件、补充文件；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1.4其他文件或材料：</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二、合同标的</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三、合同金额</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3.1合同总价：人民币（大写）_________元（￥_________元）；</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3.2合同总价组成：___________；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3.3其他需说明事项：___________；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四、合同标的交付</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4.1交付时间：___________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4.2交付地点：___________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4.3交付条件：___________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4.4供货要求：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（4）其他供货要求：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五、质量标准及要求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5.1质量标准及要求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（2）其他质量要求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5.2节能环保产品要求</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5.3质量保证范围、质量保证期及售后服务</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（1）质量保证范围：___________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（2）本合同乙方所供应的货物质量保证期自验收合格之日起{_______月。</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（3）售后服务应按法律法规和采购文件约定执行，具体如下：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5.4商品安全责任</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商品安全责任应按照法律法规和采购文件的规定执行，具体如下：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六、安装调试、验收及退、换货</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6.1安装调试、验收应按照采购文件、乙方响应文件的规定或约定进行，具体如下：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6.2本项目是否邀请其他投标人参与验收：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不邀请。邀请，具体如下：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6.3本项目是否邀请专家参与验收：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不邀请。邀请，具体如下：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6.4本项目是否邀请国家认可的质量检测机构参与验收：</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不邀请。邀请，具体如下：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6.5履约验收：___________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6.6退、换货：___________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6.7其他：</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七、资金支付方式、条件和时间</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八、履约保证金</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□有，□无。具体如下违约：（按照采购文件规定填写）。</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8.1乙方向甲方缴纳人民币 元（大写： ）作为本合同的履约保证金。</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8.2履约保证金缴纳形式：支票/汇票/电汇/保函等非现金形式。</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8.3履约保证金退还： （根据实际情况填写） 。</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九、合同期限</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十、违约责任</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10.1甲方违约责任</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（1）甲方无正当理由拒收乙方交付的合格产品的，甲方向乙方偿付拒收货款总值_____的违约金</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甲方无故逾期验收和办理合同款项支付手续的,甲方应按逾期付款总额每日_______向乙方支付违约金。</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（3）其他违约情形</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10.2乙方违约责任</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（3）乙方不按合同约定履约的，甲方可以解除采购合同，并对乙方已缴纳的履约保证金作“不予退还”处理。同时，乙方还须按向甲方支付违约金：</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（4）其他违约情形</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十一、不可抗力事件处理</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十二、保密条款</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12.1对于在采购和合同履行过程中所获悉的属于保密的内容，甲、乙双方均负有保密义务。</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12.2其他</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十三、解决争议的方法</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13.1甲、乙双方协商解决。</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13.2若协商解决不成，双方明确按以下第__方式解决：</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1、提交仲裁委员会仲裁，具体如下：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2、向人民法院提起诉讼，具体如下：</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十四、合同其他条款</w:t>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十五、其他约定</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15.1合同文件与本合同具有同等法律效力。</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15.3本合同未尽事宜，遵照《中华人民共和国民法典》有关条文执行。</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15.4本合同正本一式_______份，具有同等法律效力，甲方、乙方各执_______份；副本_______份，_______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15.5本合同已用于政府采购合同融资，为本项目提供合同融资的金融机构为：_______，甲乙双方应当按照融资合同的约定进行资金使用及款项支付。</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中标（成交）供应商应于采购合同签订之日起_______内，向发放政采贷的金融机构提交政府采购中标（成交）通知书和政府采购合同，贷款金额以政府采购合同金额为限。</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15.6其他</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sz w:val="24"/>
          <w:szCs w:val="24"/>
        </w:rPr>
      </w:pPr>
      <w:r>
        <w:rPr>
          <w:b/>
          <w:sz w:val="24"/>
          <w:szCs w:val="24"/>
        </w:rPr>
        <w:t>十六、合同附件</w:t>
      </w:r>
      <w:r>
        <w:rPr>
          <w:sz w:val="24"/>
          <w:szCs w:val="24"/>
        </w:rPr>
        <w:br w:type="textWrapping"/>
      </w:r>
      <w:r>
        <w:rPr>
          <w:sz w:val="24"/>
          <w:szCs w:val="24"/>
        </w:rPr>
        <w:br w:type="textWrapping"/>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甲方（采购人）：</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法定（授权）代表人：</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纳税人识别号：</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开户银行：</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账号：</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after="375"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乙方（中标或成交人）：</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法定（授权）代表人：</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纳税人识别号：</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开户银行：</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账号：</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签订地点：__________</w:t>
      </w:r>
    </w:p>
    <w:p>
      <w:pPr>
        <w:pStyle w:val="10"/>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签订日期：___年___月___日</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sz w:val="24"/>
          <w:szCs w:val="24"/>
        </w:rPr>
      </w:pPr>
      <w:r>
        <w:rPr>
          <w:b/>
          <w:sz w:val="24"/>
          <w:szCs w:val="24"/>
        </w:rPr>
        <w:t>第七章 电子投标文件格式</w:t>
      </w:r>
    </w:p>
    <w:p>
      <w:pPr>
        <w:pStyle w:val="10"/>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编制说明</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1、除招标文件另有规定外，本章中：</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1.1涉及投标人的“全称”：</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（1）不接受联合体投标的，指投标人的全称。</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（2）接受联合体投标且投标人为联合体的，指牵头方的全称并加注（联合体牵头方），即应表述为：“牵头方的全称（联合体牵头方）”。</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1.2涉及投标人“加盖单位公章”：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（1）不接受联合体投标的，指加盖投标人的单位公章。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（2）接受联合体投标且投标人为联合体的，指加盖联合体牵头方的单位公章。</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1.3涉及“投标人代表签字”：</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（1）不接受联合体投标的，指由投标人的单位负责人或其授权的委托代理人签字，由委托代理人签字的，应提供“单位授权书”。</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（2）接受联合体投标且投标人为联合体的，指由联合体牵头方的单位负责人或其授权的委托代理人签字，由委托代理人签字的，应提供“单位授权书”。</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1.4“其他组织”指合伙企业、非企业专业服务机构、个体工商户、农村承包经营户等。</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1.5“自然人”指具有完全民事行为能力、能够承担民事责任和义务的中国公民。</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2、除招标文件另有规定外，本章中“投标人的资格及资信证明文件”：</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2.1投标人应按照招标文件第四章第1.3条第（2）款规定及本章规定进行编制，如有必要，可增加附页，附页作为资格及资信文件的组成部分。</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2.2接受联合体投标且投标人为联合体的，联合体中的各方均应按照本章第2.1条规定提交相应的全部资料。</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3、投标人对电子投标文件的索引应编制页码。</w:t>
      </w:r>
    </w:p>
    <w:p>
      <w:pPr>
        <w:pStyle w:val="10"/>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sz w:val="24"/>
          <w:szCs w:val="24"/>
        </w:rPr>
      </w:pPr>
      <w:r>
        <w:rPr>
          <w:sz w:val="24"/>
          <w:szCs w:val="24"/>
        </w:rPr>
        <w:t>4、本章提供格式仅供参考，投标人应根据自身实际情况制作电子投标文件。</w:t>
      </w:r>
    </w:p>
    <w:p>
      <w:pPr>
        <w:pStyle w:val="10"/>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封面格式(资格及资信证明部分)</w:t>
      </w:r>
    </w:p>
    <w:p>
      <w:pPr>
        <w:pStyle w:val="10"/>
        <w:jc w:val="center"/>
        <w:outlineLvl w:val="0"/>
      </w:pPr>
      <w:r>
        <w:rPr>
          <w:b/>
          <w:sz w:val="48"/>
        </w:rPr>
        <w:t>福建省政府采购投标文件</w:t>
      </w:r>
    </w:p>
    <w:p>
      <w:pPr>
        <w:pStyle w:val="10"/>
        <w:jc w:val="center"/>
        <w:outlineLvl w:val="0"/>
      </w:pPr>
      <w:r>
        <w:rPr>
          <w:b/>
          <w:sz w:val="48"/>
        </w:rPr>
        <w:t>（资格及资信证明部分）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center"/>
        <w:outlineLvl w:val="2"/>
      </w:pPr>
      <w:r>
        <w:rPr>
          <w:b/>
          <w:sz w:val="28"/>
        </w:rPr>
        <w:t>索引</w:t>
      </w:r>
    </w:p>
    <w:p>
      <w:pPr>
        <w:pStyle w:val="10"/>
        <w:ind w:firstLine="480"/>
        <w:jc w:val="both"/>
      </w:pPr>
      <w:r>
        <w:t>一、投标函</w:t>
      </w:r>
    </w:p>
    <w:p>
      <w:pPr>
        <w:pStyle w:val="10"/>
        <w:ind w:firstLine="480"/>
        <w:jc w:val="both"/>
      </w:pPr>
      <w:r>
        <w:t>二、投标人的资格及资信证明文件</w:t>
      </w:r>
    </w:p>
    <w:p>
      <w:pPr>
        <w:pStyle w:val="10"/>
        <w:ind w:firstLine="480"/>
        <w:jc w:val="both"/>
      </w:pPr>
      <w:r>
        <w:t>三、投标保证金</w:t>
      </w:r>
    </w:p>
    <w:p>
      <w:pPr>
        <w:pStyle w:val="10"/>
        <w:ind w:firstLine="480"/>
        <w:jc w:val="both"/>
      </w:pPr>
      <w:r>
        <w:t>※注意</w:t>
      </w:r>
    </w:p>
    <w:p>
      <w:pPr>
        <w:pStyle w:val="10"/>
        <w:ind w:firstLine="480"/>
        <w:jc w:val="both"/>
      </w:pPr>
      <w:r>
        <w:t>资格及资信证明部分中不得出现报价部分的全部或部分的投标报价信息（或组成资料），否则资格审查不合格。（联合体协议及分包意向协议中的比例规定，不适用本条款）</w:t>
      </w:r>
    </w:p>
    <w:p>
      <w:pPr>
        <w:pStyle w:val="10"/>
        <w:jc w:val="both"/>
      </w:pPr>
    </w:p>
    <w:p>
      <w:pPr>
        <w:pStyle w:val="10"/>
        <w:jc w:val="both"/>
      </w:pPr>
      <w:r>
        <w:t xml:space="preserve"> </w:t>
      </w: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center"/>
        <w:outlineLvl w:val="2"/>
      </w:pPr>
      <w:r>
        <w:rPr>
          <w:b/>
          <w:sz w:val="28"/>
        </w:rPr>
        <w:t>一、投标函</w:t>
      </w:r>
    </w:p>
    <w:p>
      <w:pPr>
        <w:pStyle w:val="10"/>
        <w:ind w:firstLine="480"/>
        <w:jc w:val="both"/>
      </w:pPr>
      <w:r>
        <w:t>致：</w:t>
      </w:r>
      <w:r>
        <w:rPr>
          <w:u w:val="single"/>
        </w:rPr>
        <w:t>（采购人或采购代理机构）</w:t>
      </w:r>
    </w:p>
    <w:p>
      <w:pPr>
        <w:pStyle w:val="10"/>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0"/>
        <w:ind w:firstLine="480"/>
        <w:jc w:val="both"/>
      </w:pPr>
      <w:r>
        <w:t>（1）资格及资信证明部分</w:t>
      </w:r>
    </w:p>
    <w:p>
      <w:pPr>
        <w:pStyle w:val="10"/>
        <w:ind w:firstLine="480"/>
        <w:jc w:val="both"/>
      </w:pPr>
      <w:r>
        <w:t>①投标函</w:t>
      </w:r>
    </w:p>
    <w:p>
      <w:pPr>
        <w:pStyle w:val="10"/>
        <w:ind w:firstLine="480"/>
        <w:jc w:val="both"/>
      </w:pPr>
      <w:r>
        <w:t>②投标人的资格及资信证明文件</w:t>
      </w:r>
    </w:p>
    <w:p>
      <w:pPr>
        <w:pStyle w:val="10"/>
        <w:ind w:firstLine="480"/>
        <w:jc w:val="both"/>
      </w:pPr>
      <w:r>
        <w:t>③投标保证金</w:t>
      </w:r>
    </w:p>
    <w:p>
      <w:pPr>
        <w:pStyle w:val="10"/>
        <w:ind w:firstLine="480"/>
        <w:jc w:val="both"/>
      </w:pPr>
      <w:r>
        <w:t>（2）报价部分</w:t>
      </w:r>
    </w:p>
    <w:p>
      <w:pPr>
        <w:pStyle w:val="10"/>
        <w:ind w:firstLine="480"/>
        <w:jc w:val="both"/>
      </w:pPr>
      <w:r>
        <w:t>①开标一览表</w:t>
      </w:r>
    </w:p>
    <w:p>
      <w:pPr>
        <w:pStyle w:val="10"/>
        <w:ind w:firstLine="480"/>
        <w:jc w:val="both"/>
      </w:pPr>
      <w:r>
        <w:t>②投标分项报价表</w:t>
      </w:r>
    </w:p>
    <w:p>
      <w:pPr>
        <w:pStyle w:val="10"/>
        <w:ind w:firstLine="480"/>
        <w:jc w:val="both"/>
      </w:pPr>
      <w:r>
        <w:t>③招标文件规定的价格扣除证明材料（若有）</w:t>
      </w:r>
    </w:p>
    <w:p>
      <w:pPr>
        <w:pStyle w:val="10"/>
        <w:ind w:firstLine="480"/>
        <w:jc w:val="both"/>
      </w:pPr>
      <w:r>
        <w:t>④招标文件规定的加分证明材料（若有）</w:t>
      </w:r>
    </w:p>
    <w:p>
      <w:pPr>
        <w:pStyle w:val="10"/>
        <w:ind w:firstLine="480"/>
        <w:jc w:val="both"/>
      </w:pPr>
      <w:r>
        <w:t>（3）技术商务部分</w:t>
      </w:r>
    </w:p>
    <w:p>
      <w:pPr>
        <w:pStyle w:val="10"/>
        <w:ind w:firstLine="480"/>
        <w:jc w:val="both"/>
      </w:pPr>
      <w:r>
        <w:t>①标的说明一览表</w:t>
      </w:r>
    </w:p>
    <w:p>
      <w:pPr>
        <w:pStyle w:val="10"/>
        <w:ind w:firstLine="480"/>
        <w:jc w:val="both"/>
      </w:pPr>
      <w:r>
        <w:t>②技术和服务要求响应表</w:t>
      </w:r>
    </w:p>
    <w:p>
      <w:pPr>
        <w:pStyle w:val="10"/>
        <w:ind w:firstLine="480"/>
        <w:jc w:val="both"/>
      </w:pPr>
      <w:r>
        <w:t>③商务条件响应表</w:t>
      </w:r>
    </w:p>
    <w:p>
      <w:pPr>
        <w:pStyle w:val="10"/>
        <w:ind w:firstLine="480"/>
        <w:jc w:val="both"/>
      </w:pPr>
      <w:r>
        <w:t>④投标人提交的其他资料（若有）</w:t>
      </w:r>
    </w:p>
    <w:p>
      <w:pPr>
        <w:pStyle w:val="10"/>
        <w:ind w:firstLine="480"/>
        <w:jc w:val="both"/>
      </w:pPr>
      <w:r>
        <w:t>根据本函，本投标人代表宣布我方保证遵守招标文件的全部规定，同时：</w:t>
      </w:r>
    </w:p>
    <w:p>
      <w:pPr>
        <w:pStyle w:val="10"/>
        <w:ind w:firstLine="480"/>
        <w:jc w:val="both"/>
      </w:pPr>
      <w:r>
        <w:t>1、确认：</w:t>
      </w:r>
    </w:p>
    <w:p>
      <w:pPr>
        <w:pStyle w:val="10"/>
        <w:ind w:firstLine="480"/>
        <w:jc w:val="both"/>
      </w:pPr>
      <w:r>
        <w:t>1.1所投采购包的投标报价详见“开标一览表”及“投标分项报价表”。</w:t>
      </w:r>
    </w:p>
    <w:p>
      <w:pPr>
        <w:pStyle w:val="10"/>
        <w:ind w:firstLine="480"/>
        <w:jc w:val="both"/>
      </w:pPr>
      <w:r>
        <w:t>1.2我方已详细审查全部招标文件[包括但不限于：有关附件（若有）、澄清或修改（若有）等]，并自行承担因对全部招标文件理解不正确或误解而产生的相应后果和责任。</w:t>
      </w:r>
    </w:p>
    <w:p>
      <w:pPr>
        <w:pStyle w:val="10"/>
        <w:ind w:firstLine="480"/>
        <w:jc w:val="both"/>
      </w:pPr>
      <w:r>
        <w:t>2、承诺及声明：</w:t>
      </w:r>
    </w:p>
    <w:p>
      <w:pPr>
        <w:pStyle w:val="10"/>
        <w:ind w:firstLine="480"/>
        <w:jc w:val="both"/>
      </w:pPr>
      <w:r>
        <w:t>2.1我方具备招标文件第一章载明的“投标人的资格要求”且符合招标文件第三章载明的“二、投标人”之规定，否则投标无效。</w:t>
      </w:r>
    </w:p>
    <w:p>
      <w:pPr>
        <w:pStyle w:val="10"/>
        <w:ind w:firstLine="480"/>
        <w:jc w:val="both"/>
      </w:pPr>
      <w:r>
        <w:t>2.2我方提交的电子投标文件各组成部分的全部内容及资料是不可割离且真实、有效、准确、完整和不具有任何误导性的，否则产生不利后果由我方承担责任。</w:t>
      </w:r>
    </w:p>
    <w:p>
      <w:pPr>
        <w:pStyle w:val="10"/>
        <w:ind w:firstLine="480"/>
        <w:jc w:val="both"/>
      </w:pPr>
      <w:r>
        <w:t>2.3我方提供的标的价格不高于同期市场价格，否则产生不利后果由我方承担责任。</w:t>
      </w:r>
    </w:p>
    <w:p>
      <w:pPr>
        <w:pStyle w:val="10"/>
        <w:ind w:firstLine="480"/>
        <w:jc w:val="both"/>
      </w:pPr>
      <w:r>
        <w:t>2.4投标保证金：若出现招标文件第三章规定的不予退还情形，同意贵单位不予退还。</w:t>
      </w:r>
    </w:p>
    <w:p>
      <w:pPr>
        <w:pStyle w:val="10"/>
        <w:ind w:firstLine="480"/>
        <w:jc w:val="both"/>
      </w:pPr>
      <w:r>
        <w:t>2.5投标有效期：按照招标文件第三章规定执行，并在招标文件第二章载明的期限内保持有效。</w:t>
      </w:r>
    </w:p>
    <w:p>
      <w:pPr>
        <w:pStyle w:val="10"/>
        <w:ind w:firstLine="480"/>
        <w:jc w:val="both"/>
      </w:pPr>
      <w:r>
        <w:t>2.6若中标，将按照招标文件、我方电子投标文件及政府采购合同履行责任和义务。</w:t>
      </w:r>
    </w:p>
    <w:p>
      <w:pPr>
        <w:pStyle w:val="10"/>
        <w:ind w:firstLine="480"/>
        <w:jc w:val="both"/>
      </w:pPr>
      <w:r>
        <w:t>2.7若贵单位要求，我方同意提供与本项目投标有关的一切资料、数据或文件，并完全理解贵单位不一定要接受最低的投标报价或收到的任何投标。</w:t>
      </w:r>
    </w:p>
    <w:p>
      <w:pPr>
        <w:pStyle w:val="10"/>
        <w:ind w:firstLine="480"/>
        <w:jc w:val="both"/>
      </w:pPr>
      <w:r>
        <w:t>2.8我方承诺电子投标文件所提供的全部资料真实可靠，并接受评标委员会、采购人、采购代理机构、监管部门进一步审查其中任何资料真实性的要求。</w:t>
      </w:r>
    </w:p>
    <w:p>
      <w:pPr>
        <w:pStyle w:val="10"/>
        <w:ind w:firstLine="480"/>
        <w:jc w:val="both"/>
      </w:pPr>
      <w:r>
        <w:t>2.9除招标文件另有规定外，对于贵单位按照下述联络方式发出的任何信息或通知，均视为我方已收悉前述信息或通知的全部内容：</w:t>
      </w:r>
    </w:p>
    <w:p>
      <w:pPr>
        <w:pStyle w:val="10"/>
        <w:ind w:firstLine="480"/>
        <w:jc w:val="both"/>
      </w:pPr>
      <w:r>
        <w:t xml:space="preserve">通信地址：             </w:t>
      </w:r>
      <w:r>
        <w:tab/>
      </w:r>
      <w:r>
        <w:tab/>
      </w:r>
      <w:r>
        <w:tab/>
      </w:r>
      <w:r>
        <w:t xml:space="preserve">                          </w:t>
      </w:r>
    </w:p>
    <w:p>
      <w:pPr>
        <w:pStyle w:val="10"/>
        <w:ind w:firstLine="480"/>
        <w:jc w:val="both"/>
      </w:pPr>
      <w:r>
        <w:t xml:space="preserve">邮编：             </w:t>
      </w:r>
      <w:r>
        <w:tab/>
      </w:r>
      <w:r>
        <w:tab/>
      </w:r>
      <w:r>
        <w:tab/>
      </w:r>
      <w:r>
        <w:t xml:space="preserve">                             </w:t>
      </w:r>
    </w:p>
    <w:p>
      <w:pPr>
        <w:pStyle w:val="10"/>
        <w:ind w:firstLine="480"/>
        <w:jc w:val="both"/>
      </w:pPr>
      <w:r>
        <w:t>联系方法：（包括但不限于：联系人、联系电话、手机、传真、电子邮箱等）</w:t>
      </w:r>
    </w:p>
    <w:p>
      <w:pPr>
        <w:pStyle w:val="10"/>
        <w:ind w:firstLine="480"/>
        <w:jc w:val="both"/>
      </w:pPr>
      <w:r>
        <w:t>投标人：（全称并加盖单位公章）</w:t>
      </w:r>
    </w:p>
    <w:p>
      <w:pPr>
        <w:pStyle w:val="10"/>
        <w:ind w:firstLine="480"/>
        <w:jc w:val="both"/>
      </w:pPr>
      <w:r>
        <w:t>日期：    年   月   日</w:t>
      </w:r>
    </w:p>
    <w:p>
      <w:pPr>
        <w:pStyle w:val="10"/>
        <w:jc w:val="both"/>
      </w:pPr>
    </w:p>
    <w:p>
      <w:pPr>
        <w:pStyle w:val="10"/>
        <w:jc w:val="center"/>
      </w:pPr>
      <w:r>
        <w:rPr>
          <w:b/>
          <w:sz w:val="28"/>
        </w:rPr>
        <w:t>二、投标人的资格及资信证明文件</w:t>
      </w:r>
    </w:p>
    <w:p>
      <w:pPr>
        <w:pStyle w:val="10"/>
        <w:jc w:val="center"/>
        <w:outlineLvl w:val="3"/>
      </w:pPr>
      <w:r>
        <w:rPr>
          <w:b/>
          <w:sz w:val="24"/>
        </w:rPr>
        <w:t>二-1单位授权书（若有）</w:t>
      </w:r>
    </w:p>
    <w:p>
      <w:pPr>
        <w:pStyle w:val="10"/>
        <w:ind w:firstLine="480"/>
        <w:jc w:val="both"/>
      </w:pPr>
      <w:r>
        <w:t>致：</w:t>
      </w:r>
      <w:r>
        <w:rPr>
          <w:u w:val="single"/>
        </w:rPr>
        <w:t>（采购人或采购代理机构）</w:t>
      </w:r>
    </w:p>
    <w:p>
      <w:pPr>
        <w:pStyle w:val="10"/>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pPr>
      <w:r>
        <w:t>投标人代表无转委权。特此授权。</w:t>
      </w:r>
    </w:p>
    <w:p>
      <w:pPr>
        <w:pStyle w:val="10"/>
        <w:ind w:firstLine="480"/>
        <w:jc w:val="both"/>
      </w:pPr>
      <w:r>
        <w:t>（以下无正文）</w:t>
      </w:r>
    </w:p>
    <w:p>
      <w:pPr>
        <w:pStyle w:val="10"/>
        <w:ind w:firstLine="480"/>
        <w:jc w:val="both"/>
      </w:pPr>
      <w:r>
        <w:t>单位负责人：</w:t>
      </w:r>
      <w:r>
        <w:rPr>
          <w:u w:val="single"/>
        </w:rPr>
        <w:t>　　　　　</w:t>
      </w:r>
      <w:r>
        <w:t>身份证号：</w:t>
      </w:r>
      <w:r>
        <w:rPr>
          <w:u w:val="single"/>
        </w:rPr>
        <w:t>　　　　　</w:t>
      </w:r>
      <w:r>
        <w:t>手机：</w:t>
      </w:r>
      <w:r>
        <w:rPr>
          <w:u w:val="single"/>
        </w:rPr>
        <w:t>　　　　　</w:t>
      </w:r>
    </w:p>
    <w:p>
      <w:pPr>
        <w:pStyle w:val="10"/>
        <w:ind w:firstLine="480"/>
        <w:jc w:val="both"/>
      </w:pPr>
      <w:r>
        <w:t>投标人代表：</w:t>
      </w:r>
      <w:r>
        <w:rPr>
          <w:u w:val="single"/>
        </w:rPr>
        <w:t>　　　　　</w:t>
      </w:r>
      <w:r>
        <w:t>身份证号：</w:t>
      </w:r>
      <w:r>
        <w:rPr>
          <w:u w:val="single"/>
        </w:rPr>
        <w:t>　　　　　</w:t>
      </w:r>
      <w:r>
        <w:t>手机：</w:t>
      </w:r>
      <w:r>
        <w:rPr>
          <w:u w:val="single"/>
        </w:rPr>
        <w:t>　　　　　</w:t>
      </w:r>
    </w:p>
    <w:p>
      <w:pPr>
        <w:pStyle w:val="10"/>
        <w:ind w:firstLine="480"/>
        <w:jc w:val="both"/>
      </w:pPr>
      <w:r>
        <w:t>授权方</w:t>
      </w:r>
    </w:p>
    <w:p>
      <w:pPr>
        <w:pStyle w:val="10"/>
        <w:ind w:firstLine="480"/>
        <w:jc w:val="both"/>
      </w:pPr>
      <w:r>
        <w:t>投标人：</w:t>
      </w:r>
      <w:r>
        <w:rPr>
          <w:u w:val="single"/>
        </w:rPr>
        <w:t>（全称并加盖单位公章）</w:t>
      </w:r>
    </w:p>
    <w:p>
      <w:pPr>
        <w:pStyle w:val="10"/>
        <w:ind w:firstLine="480"/>
        <w:jc w:val="right"/>
      </w:pPr>
      <w:r>
        <w:t>签署日期： 年 月 日</w:t>
      </w:r>
    </w:p>
    <w:p>
      <w:pPr>
        <w:pStyle w:val="10"/>
        <w:ind w:firstLine="480"/>
        <w:jc w:val="both"/>
      </w:pPr>
      <w:r>
        <w:t>附：单位负责人、投标人代表的身份证正反面复印件</w:t>
      </w:r>
    </w:p>
    <w:p>
      <w:pPr>
        <w:pStyle w:val="10"/>
        <w:jc w:val="both"/>
      </w:pPr>
    </w:p>
    <w:p>
      <w:pPr>
        <w:pStyle w:val="10"/>
        <w:pBdr>
          <w:top w:val="dashed" w:color="000000" w:sz="4" w:space="0"/>
          <w:left w:val="dashed" w:color="000000" w:sz="4" w:space="0"/>
          <w:bottom w:val="dashed" w:color="000000" w:sz="4" w:space="0"/>
          <w:right w:val="dashed" w:color="000000" w:sz="4" w:space="0"/>
        </w:pBdr>
        <w:jc w:val="center"/>
      </w:pPr>
    </w:p>
    <w:p>
      <w:pPr>
        <w:pStyle w:val="10"/>
        <w:jc w:val="center"/>
      </w:pPr>
      <w:r>
        <w:t>要求：真实有效且内容完整、清晰、整洁。</w:t>
      </w:r>
    </w:p>
    <w:p>
      <w:pPr>
        <w:pStyle w:val="10"/>
        <w:ind w:firstLine="480"/>
        <w:jc w:val="both"/>
      </w:pPr>
      <w:r>
        <w:t>※注意：</w:t>
      </w:r>
    </w:p>
    <w:p>
      <w:pPr>
        <w:pStyle w:val="10"/>
        <w:ind w:firstLine="480"/>
        <w:jc w:val="both"/>
      </w:pPr>
      <w:r>
        <w:t>1、企业（银行、保险、石油石化、电力、电信等行业除外）、事业单位和社会团体法人的“单位负责人”指法定代表人，即与实际提交的“营业执照等证明文件”载明的一致。</w:t>
      </w:r>
    </w:p>
    <w:p>
      <w:pPr>
        <w:pStyle w:val="10"/>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10"/>
        <w:ind w:firstLine="480"/>
        <w:jc w:val="both"/>
      </w:pPr>
      <w:r>
        <w:t>4、投标人为自然人的，可不填写本授权书。</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二-2营业执照等证明文件</w:t>
      </w:r>
    </w:p>
    <w:p>
      <w:pPr>
        <w:pStyle w:val="10"/>
        <w:ind w:firstLine="480"/>
        <w:jc w:val="both"/>
      </w:pPr>
      <w:r>
        <w:t>致：</w:t>
      </w:r>
      <w:r>
        <w:rPr>
          <w:u w:val="single"/>
        </w:rPr>
        <w:t>（采购人或采购代理机构）</w:t>
      </w:r>
    </w:p>
    <w:p>
      <w:pPr>
        <w:pStyle w:val="10"/>
        <w:ind w:firstLine="480"/>
        <w:jc w:val="both"/>
      </w:pPr>
      <w:r>
        <w:t>（ ）投标人为法人（包括企业、事业单位和社会团体）的</w:t>
      </w:r>
    </w:p>
    <w:p>
      <w:pPr>
        <w:pStyle w:val="10"/>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jc w:val="both"/>
      </w:pPr>
      <w:r>
        <w:t>（ ）投标人为非法人（包括其他组织、自然人）的</w:t>
      </w:r>
    </w:p>
    <w:p>
      <w:pPr>
        <w:pStyle w:val="10"/>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10"/>
        <w:ind w:firstLine="480"/>
        <w:jc w:val="both"/>
      </w:pPr>
      <w:r>
        <w:t>□现附上由</w:t>
      </w:r>
      <w:r>
        <w:rPr>
          <w:u w:val="single"/>
        </w:rPr>
        <w:t>（（填写“签发机关全称”）</w:t>
      </w:r>
      <w:r>
        <w:t>签发的我方（请填写自然人的身份证件名称）复印件，该证明材料真实有效，否则我方负全部责任。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二-3财务状况报告（财务报告、或资信证明）</w:t>
      </w:r>
    </w:p>
    <w:p>
      <w:pPr>
        <w:pStyle w:val="10"/>
        <w:ind w:firstLine="480"/>
        <w:jc w:val="both"/>
      </w:pPr>
      <w:r>
        <w:t>致：</w:t>
      </w:r>
      <w:r>
        <w:rPr>
          <w:u w:val="single"/>
        </w:rPr>
        <w:t>（采购人或采购代理机构）</w:t>
      </w:r>
    </w:p>
    <w:p>
      <w:pPr>
        <w:pStyle w:val="10"/>
        <w:ind w:firstLine="480"/>
        <w:jc w:val="both"/>
      </w:pPr>
      <w:r>
        <w:t>（ ）投标人提供财务报告的</w:t>
      </w:r>
    </w:p>
    <w:p>
      <w:pPr>
        <w:pStyle w:val="10"/>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jc w:val="both"/>
      </w:pPr>
      <w:r>
        <w:t>（ ）投标人提供资信证明的</w:t>
      </w:r>
    </w:p>
    <w:p>
      <w:pPr>
        <w:pStyle w:val="10"/>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2、投标人提供的财务报告复印件（成立年限按照投标截止时间推算）应符合下列规定：</w:t>
      </w:r>
    </w:p>
    <w:p>
      <w:pPr>
        <w:pStyle w:val="10"/>
        <w:ind w:firstLine="480"/>
        <w:jc w:val="both"/>
      </w:pPr>
      <w:r>
        <w:t>2.1成立年限满1年及以上的投标人，提供经审计的招标文件规定的年度财务报告。</w:t>
      </w:r>
    </w:p>
    <w:p>
      <w:pPr>
        <w:pStyle w:val="10"/>
        <w:ind w:firstLine="480"/>
        <w:jc w:val="both"/>
      </w:pPr>
      <w:r>
        <w:t>2.2成立年限满半年但不足1年的投标人，提供该半年度中任一季度的季度财务报告或该半年度的半年度财务报告。</w:t>
      </w:r>
    </w:p>
    <w:p>
      <w:pPr>
        <w:pStyle w:val="10"/>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二-4依法缴纳税收证明材料</w:t>
      </w:r>
    </w:p>
    <w:p>
      <w:pPr>
        <w:pStyle w:val="10"/>
        <w:ind w:firstLine="480"/>
        <w:jc w:val="both"/>
      </w:pPr>
      <w:r>
        <w:t>致：</w:t>
      </w:r>
      <w:r>
        <w:rPr>
          <w:u w:val="single"/>
        </w:rPr>
        <w:t>（采购人或采购代理机构）</w:t>
      </w:r>
    </w:p>
    <w:p>
      <w:pPr>
        <w:pStyle w:val="10"/>
        <w:ind w:firstLine="480"/>
        <w:jc w:val="both"/>
      </w:pPr>
      <w:r>
        <w:t>1、依法缴纳税收的投标人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 ）非法人（包括其他组织、自然人）的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2、依法免税的投标人</w:t>
      </w:r>
    </w:p>
    <w:p>
      <w:pPr>
        <w:pStyle w:val="10"/>
        <w:ind w:firstLine="480"/>
        <w:jc w:val="both"/>
      </w:pPr>
      <w:r>
        <w:t>（ ）现附上我方依法免税的证明材料复印件，上述证明材料真实有效，否则我方负全部责任。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2、投标人提供的税收缴纳凭据复印件应符合下列规定：</w:t>
      </w:r>
    </w:p>
    <w:p>
      <w:pPr>
        <w:pStyle w:val="10"/>
        <w:ind w:firstLine="480"/>
        <w:jc w:val="both"/>
      </w:pPr>
      <w:r>
        <w:t>2.1投标截止时间前（不含投标截止时间的当月）已依法缴纳税收的投标人，提供投标截止时间前六个月（不含投标截止时间的当月）中任一月份的税收缴纳凭据复印件。</w:t>
      </w:r>
    </w:p>
    <w:p>
      <w:pPr>
        <w:pStyle w:val="10"/>
        <w:ind w:firstLine="480"/>
        <w:jc w:val="both"/>
      </w:pPr>
      <w:r>
        <w:t>2.2投标截止时间的当月成立的投标人，视同满足本项资格条件要求。</w:t>
      </w:r>
    </w:p>
    <w:p>
      <w:pPr>
        <w:pStyle w:val="10"/>
        <w:ind w:firstLine="480"/>
        <w:jc w:val="both"/>
      </w:pPr>
      <w:r>
        <w:t>3、若为依法免税范围的投标人，提供依法免税证明材料的，视同满足本项资格条件要求。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二-5依法缴纳社会保障资金证明材料</w:t>
      </w:r>
    </w:p>
    <w:p>
      <w:pPr>
        <w:pStyle w:val="10"/>
        <w:ind w:firstLine="480"/>
        <w:jc w:val="both"/>
      </w:pPr>
      <w:r>
        <w:t>致：</w:t>
      </w:r>
      <w:r>
        <w:rPr>
          <w:u w:val="single"/>
        </w:rPr>
        <w:t>（采购人或采购代理机构）</w:t>
      </w:r>
    </w:p>
    <w:p>
      <w:pPr>
        <w:pStyle w:val="10"/>
        <w:ind w:firstLine="480"/>
        <w:jc w:val="both"/>
      </w:pPr>
      <w:r>
        <w:t>1、依法缴纳社会保障资金的投标人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 ）非法人（包括其他组织、自然人）的</w:t>
      </w:r>
    </w:p>
    <w:p>
      <w:pPr>
        <w:pStyle w:val="10"/>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2、依法不需要缴纳或暂缓缴纳社会保障资金的投标人</w:t>
      </w:r>
    </w:p>
    <w:p>
      <w:pPr>
        <w:pStyle w:val="10"/>
        <w:ind w:firstLine="480"/>
        <w:jc w:val="both"/>
      </w:pPr>
      <w:r>
        <w:t>（ ）现附上我方依法不需要缴纳或暂缓缴纳社会保障资金证明材料复印件，上述证明材料真实有效，否则我方负全部责任。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2、投标人提供的社会保障资金缴纳凭据复印件应符合下列规定：</w:t>
      </w:r>
    </w:p>
    <w:p>
      <w:pPr>
        <w:pStyle w:val="10"/>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pPr>
      <w:r>
        <w:t>2.2投标截止时间的当月成立的投标人，视同满足本项资格条件要求。</w:t>
      </w:r>
    </w:p>
    <w:p>
      <w:pPr>
        <w:pStyle w:val="10"/>
        <w:ind w:firstLine="480"/>
        <w:jc w:val="both"/>
      </w:pPr>
      <w:r>
        <w:t>3、若为依法不需要缴纳或暂缓缴纳社会保障资金的投标人，提供依法不需要缴纳或暂缓缴纳社会保障资金证明材料的，视同满足本项资格条件要求。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二-6具备履行合同所必需设备和专业技术能力的声明函（若有）</w:t>
      </w:r>
    </w:p>
    <w:p>
      <w:pPr>
        <w:pStyle w:val="10"/>
        <w:ind w:firstLine="480"/>
        <w:jc w:val="both"/>
      </w:pPr>
      <w:r>
        <w:t>致：</w:t>
      </w:r>
      <w:r>
        <w:rPr>
          <w:u w:val="single"/>
        </w:rPr>
        <w:t>（采购人或采购代理机构）</w:t>
      </w:r>
    </w:p>
    <w:p>
      <w:pPr>
        <w:pStyle w:val="10"/>
        <w:ind w:firstLine="480"/>
        <w:jc w:val="both"/>
      </w:pPr>
      <w:r>
        <w:t>我方具备履行合同所必需的设备和专业技术能力，否则产生不利后果由我方承担责任。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1、招标文件未要求投标人提供“具备履行合同所必需的设备和专业技术能力专项证明材料”的，投标人应提供本声明函。</w:t>
      </w:r>
    </w:p>
    <w:p>
      <w:pPr>
        <w:pStyle w:val="10"/>
        <w:ind w:firstLine="480"/>
        <w:jc w:val="both"/>
      </w:pPr>
      <w:r>
        <w:t>2、招标文件要求投标人提供“具备履行合同所必需的设备和专业技术能力专项证明材料”的，投标人可不提供本声明函。</w:t>
      </w:r>
    </w:p>
    <w:p>
      <w:pPr>
        <w:pStyle w:val="10"/>
        <w:ind w:firstLine="480"/>
        <w:jc w:val="both"/>
      </w:pPr>
      <w:r>
        <w:t>3、请投标人根据实际情况如实声明，否则视为提供虚假材料。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二-7参加采购活动前三年内在经营活动中没有重大违法记录书面声明</w:t>
      </w:r>
    </w:p>
    <w:p>
      <w:pPr>
        <w:pStyle w:val="10"/>
        <w:ind w:firstLine="480"/>
        <w:jc w:val="both"/>
      </w:pPr>
      <w:r>
        <w:t>致：</w:t>
      </w:r>
      <w:r>
        <w:rPr>
          <w:u w:val="single"/>
        </w:rPr>
        <w:t>（采购人或采购代理机构）</w:t>
      </w:r>
    </w:p>
    <w:p>
      <w:pPr>
        <w:pStyle w:val="10"/>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pPr>
      <w:r>
        <w:t>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二-8信用记录查询提示</w:t>
      </w:r>
    </w:p>
    <w:p>
      <w:pPr>
        <w:pStyle w:val="10"/>
        <w:ind w:firstLine="480"/>
        <w:jc w:val="both"/>
      </w:pPr>
      <w:r>
        <w:t>1、由资格审查小组通过网站查询并打印投标人的信用记录。</w:t>
      </w:r>
    </w:p>
    <w:p>
      <w:pPr>
        <w:pStyle w:val="10"/>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二-9中小企业声明函</w:t>
      </w:r>
    </w:p>
    <w:p>
      <w:pPr>
        <w:pStyle w:val="10"/>
        <w:jc w:val="center"/>
        <w:outlineLvl w:val="3"/>
      </w:pPr>
      <w:r>
        <w:rPr>
          <w:b/>
          <w:sz w:val="24"/>
        </w:rPr>
        <w:t>（以资格条件落实中小企业扶持政策时适用，若有）</w:t>
      </w:r>
    </w:p>
    <w:p>
      <w:pPr>
        <w:pStyle w:val="10"/>
        <w:jc w:val="center"/>
        <w:outlineLvl w:val="3"/>
      </w:pPr>
      <w:r>
        <w:rPr>
          <w:b/>
          <w:sz w:val="24"/>
        </w:rPr>
        <w:t>中小企业声明函（货物）</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中小企业声明函（工程、服务）</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残疾人福利性单位声明函</w:t>
      </w:r>
    </w:p>
    <w:p>
      <w:pPr>
        <w:pStyle w:val="10"/>
        <w:jc w:val="center"/>
        <w:outlineLvl w:val="3"/>
      </w:pPr>
      <w:r>
        <w:rPr>
          <w:b/>
          <w:sz w:val="24"/>
        </w:rPr>
        <w:t>（以资格条件落实中小企业扶持政策时适用，若有）</w:t>
      </w:r>
    </w:p>
    <w:p>
      <w:pPr>
        <w:pStyle w:val="10"/>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r>
        <w:t>附：</w:t>
      </w:r>
    </w:p>
    <w:p>
      <w:pPr>
        <w:pStyle w:val="1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二-10联合体协议（若有）</w:t>
      </w:r>
    </w:p>
    <w:p>
      <w:pPr>
        <w:pStyle w:val="10"/>
        <w:ind w:firstLine="480"/>
        <w:jc w:val="both"/>
      </w:pPr>
      <w:r>
        <w:t>致：</w:t>
      </w:r>
      <w:r>
        <w:rPr>
          <w:u w:val="single"/>
        </w:rPr>
        <w:t>（采购人或采购代理机构）</w:t>
      </w:r>
    </w:p>
    <w:p>
      <w:pPr>
        <w:pStyle w:val="10"/>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0"/>
        <w:ind w:firstLine="480"/>
        <w:jc w:val="both"/>
      </w:pPr>
      <w:r>
        <w:t>一、联合体各方应承担的工作和义务具体如下：</w:t>
      </w:r>
    </w:p>
    <w:p>
      <w:pPr>
        <w:pStyle w:val="10"/>
        <w:ind w:firstLine="480"/>
        <w:jc w:val="both"/>
      </w:pPr>
      <w:r>
        <w:t>1、牵头方（全称）：</w:t>
      </w:r>
      <w:r>
        <w:rPr>
          <w:u w:val="single"/>
        </w:rPr>
        <w:t>（填写“工作及义务的具体内容”）</w:t>
      </w:r>
      <w:r>
        <w:t>；</w:t>
      </w:r>
    </w:p>
    <w:p>
      <w:pPr>
        <w:pStyle w:val="10"/>
        <w:ind w:firstLine="480"/>
        <w:jc w:val="both"/>
      </w:pPr>
      <w:r>
        <w:t>2、成员方：</w:t>
      </w:r>
    </w:p>
    <w:p>
      <w:pPr>
        <w:pStyle w:val="10"/>
        <w:ind w:firstLine="480"/>
        <w:jc w:val="both"/>
      </w:pPr>
      <w:r>
        <w:t>2.1（成员一的全称）：</w:t>
      </w:r>
      <w:r>
        <w:rPr>
          <w:u w:val="single"/>
        </w:rPr>
        <w:t>（填写“工作及义务的具体内容”）</w:t>
      </w:r>
      <w:r>
        <w:t>；</w:t>
      </w:r>
    </w:p>
    <w:p>
      <w:pPr>
        <w:pStyle w:val="10"/>
        <w:ind w:firstLine="480"/>
        <w:jc w:val="both"/>
      </w:pPr>
      <w:r>
        <w:t>……</w:t>
      </w:r>
    </w:p>
    <w:p>
      <w:pPr>
        <w:pStyle w:val="10"/>
        <w:ind w:firstLine="480"/>
        <w:jc w:val="both"/>
      </w:pPr>
      <w:r>
        <w:t>二、联合体各方的合同金额占比，具体如下：</w:t>
      </w:r>
    </w:p>
    <w:p>
      <w:pPr>
        <w:pStyle w:val="10"/>
        <w:ind w:firstLine="480"/>
        <w:jc w:val="both"/>
      </w:pPr>
      <w:r>
        <w:t>1.牵头方（</w:t>
      </w:r>
      <w:r>
        <w:rPr>
          <w:u w:val="single"/>
        </w:rPr>
        <w:t>全称</w:t>
      </w:r>
      <w:r>
        <w:t>）的合同金额占合同总额的</w:t>
      </w:r>
      <w:r>
        <w:rPr>
          <w:u w:val="single"/>
        </w:rPr>
        <w:t>　　</w:t>
      </w:r>
      <w:r>
        <w:t>%；</w:t>
      </w:r>
    </w:p>
    <w:p>
      <w:pPr>
        <w:pStyle w:val="10"/>
        <w:ind w:firstLine="480"/>
        <w:jc w:val="both"/>
      </w:pPr>
      <w:r>
        <w:t>2.成员方：</w:t>
      </w:r>
    </w:p>
    <w:p>
      <w:pPr>
        <w:pStyle w:val="10"/>
        <w:ind w:firstLine="480"/>
        <w:jc w:val="both"/>
      </w:pPr>
      <w:r>
        <w:t>2.1（</w:t>
      </w:r>
      <w:r>
        <w:rPr>
          <w:u w:val="single"/>
        </w:rPr>
        <w:t>成员1的全称</w:t>
      </w:r>
      <w:r>
        <w:t>）的合同金额占合同总额的</w:t>
      </w:r>
      <w:r>
        <w:rPr>
          <w:u w:val="single"/>
        </w:rPr>
        <w:t>　　</w:t>
      </w:r>
      <w:r>
        <w:t>%；</w:t>
      </w:r>
    </w:p>
    <w:p>
      <w:pPr>
        <w:pStyle w:val="10"/>
        <w:ind w:firstLine="480"/>
        <w:jc w:val="both"/>
      </w:pPr>
      <w:r>
        <w:t>……</w:t>
      </w:r>
    </w:p>
    <w:p>
      <w:pPr>
        <w:pStyle w:val="10"/>
        <w:ind w:firstLine="480"/>
        <w:jc w:val="both"/>
      </w:pPr>
      <w:r>
        <w:t>三、联合体各方约定：</w:t>
      </w:r>
    </w:p>
    <w:p>
      <w:pPr>
        <w:pStyle w:val="10"/>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pPr>
      <w:r>
        <w:t>2、联合体各方约定由</w:t>
      </w:r>
      <w:r>
        <w:rPr>
          <w:u w:val="single"/>
        </w:rPr>
        <w:t>（填写“牵头方的全称”）代表联合体办理投标保证金事宜。</w:t>
      </w:r>
    </w:p>
    <w:p>
      <w:pPr>
        <w:pStyle w:val="10"/>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pPr>
      <w:r>
        <w:t>五、本协议自签署之日起生效，政府采购合同履行完毕后自动失效。</w:t>
      </w:r>
    </w:p>
    <w:p>
      <w:pPr>
        <w:pStyle w:val="10"/>
        <w:ind w:firstLine="480"/>
        <w:jc w:val="both"/>
      </w:pPr>
      <w:r>
        <w:t>六、本协议一式</w:t>
      </w:r>
      <w:r>
        <w:rPr>
          <w:u w:val="single"/>
        </w:rPr>
        <w:t>（填写具体份数）</w:t>
      </w:r>
      <w:r>
        <w:t>份，联合体各方各执一份，电子投标文件中提交一份。</w:t>
      </w:r>
    </w:p>
    <w:p>
      <w:pPr>
        <w:pStyle w:val="10"/>
        <w:ind w:firstLine="480"/>
        <w:jc w:val="both"/>
      </w:pPr>
      <w:r>
        <w:t>（以下无正文）</w:t>
      </w:r>
    </w:p>
    <w:p>
      <w:pPr>
        <w:pStyle w:val="10"/>
        <w:ind w:firstLine="480"/>
        <w:jc w:val="both"/>
      </w:pPr>
      <w:r>
        <w:t>牵头方：</w:t>
      </w:r>
      <w:r>
        <w:rPr>
          <w:u w:val="single"/>
        </w:rPr>
        <w:t>（全称并加盖单位公章）</w:t>
      </w:r>
    </w:p>
    <w:p>
      <w:pPr>
        <w:pStyle w:val="10"/>
        <w:ind w:firstLine="480"/>
        <w:jc w:val="both"/>
      </w:pPr>
      <w:r>
        <w:t>法定代表人或其委托代理人：</w:t>
      </w:r>
      <w:r>
        <w:rPr>
          <w:u w:val="single"/>
        </w:rPr>
        <w:t>（签字或盖章）</w:t>
      </w:r>
    </w:p>
    <w:p>
      <w:pPr>
        <w:pStyle w:val="10"/>
        <w:ind w:firstLine="480"/>
        <w:jc w:val="both"/>
      </w:pPr>
      <w:r>
        <w:t>成员一：</w:t>
      </w:r>
      <w:r>
        <w:rPr>
          <w:u w:val="single"/>
        </w:rPr>
        <w:t>（全称并加盖成员一的单位公章）</w:t>
      </w:r>
    </w:p>
    <w:p>
      <w:pPr>
        <w:pStyle w:val="10"/>
        <w:ind w:firstLine="480"/>
        <w:jc w:val="both"/>
      </w:pPr>
      <w:r>
        <w:t>法定代表人或其委托代理人：</w:t>
      </w:r>
      <w:r>
        <w:rPr>
          <w:u w:val="single"/>
        </w:rPr>
        <w:t>（签字或盖章）</w:t>
      </w:r>
    </w:p>
    <w:p>
      <w:pPr>
        <w:pStyle w:val="10"/>
        <w:ind w:firstLine="480"/>
        <w:jc w:val="both"/>
      </w:pPr>
      <w:r>
        <w:t>……</w:t>
      </w:r>
    </w:p>
    <w:p>
      <w:pPr>
        <w:pStyle w:val="10"/>
        <w:ind w:firstLine="480"/>
        <w:jc w:val="both"/>
      </w:pPr>
      <w:r>
        <w:t>成员**：</w:t>
      </w:r>
      <w:r>
        <w:rPr>
          <w:u w:val="single"/>
        </w:rPr>
        <w:t>（全称并加盖成员**的单位公章）</w:t>
      </w:r>
    </w:p>
    <w:p>
      <w:pPr>
        <w:pStyle w:val="10"/>
        <w:ind w:firstLine="480"/>
        <w:jc w:val="both"/>
      </w:pPr>
      <w:r>
        <w:t>法定代表人或其委托代理人：</w:t>
      </w:r>
      <w:r>
        <w:rPr>
          <w:u w:val="single"/>
        </w:rPr>
        <w:t>（签字或盖章）</w:t>
      </w:r>
    </w:p>
    <w:p>
      <w:pPr>
        <w:pStyle w:val="10"/>
        <w:ind w:firstLine="480"/>
        <w:jc w:val="right"/>
      </w:pPr>
      <w:r>
        <w:t>签署日期：</w:t>
      </w:r>
      <w:r>
        <w:rPr>
          <w:u w:val="single"/>
        </w:rPr>
        <w:t>　　年　　月　　日</w:t>
      </w:r>
    </w:p>
    <w:p>
      <w:pPr>
        <w:pStyle w:val="10"/>
        <w:ind w:firstLine="480"/>
        <w:jc w:val="both"/>
      </w:pPr>
      <w:r>
        <w:t>※注意：</w:t>
      </w:r>
    </w:p>
    <w:p>
      <w:pPr>
        <w:pStyle w:val="10"/>
        <w:ind w:firstLine="480"/>
        <w:jc w:val="both"/>
      </w:pPr>
      <w:r>
        <w:t>1、招标文件接受联合体投标且投标人为联合体的，投标人应提供本协议；否则无须提供。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3、在以联合体形式落实中小企业预留份额项目中，投标人除了要提供《中小企业声明函》，还需提供本协议。</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二-11分包意向协议（若有）</w:t>
      </w:r>
    </w:p>
    <w:p>
      <w:pPr>
        <w:pStyle w:val="10"/>
        <w:ind w:firstLine="480"/>
        <w:jc w:val="both"/>
      </w:pPr>
      <w:r>
        <w:t>甲方（总包方）：</w:t>
      </w:r>
      <w:r>
        <w:rPr>
          <w:u w:val="single"/>
        </w:rPr>
        <w:t>　　　　　　　</w:t>
      </w:r>
      <w:r>
        <w:t>（即本项目的投标人）</w:t>
      </w:r>
    </w:p>
    <w:p>
      <w:pPr>
        <w:pStyle w:val="10"/>
        <w:ind w:firstLine="480"/>
        <w:jc w:val="both"/>
      </w:pPr>
      <w:r>
        <w:t>乙方（分包方）：</w:t>
      </w:r>
      <w:r>
        <w:rPr>
          <w:u w:val="single"/>
        </w:rPr>
        <w:t>　　　　　　　</w:t>
      </w:r>
    </w:p>
    <w:p>
      <w:pPr>
        <w:pStyle w:val="10"/>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pPr>
      <w:r>
        <w:t>一、分包标的</w:t>
      </w:r>
    </w:p>
    <w:p>
      <w:pPr>
        <w:pStyle w:val="10"/>
        <w:ind w:firstLine="480"/>
        <w:jc w:val="both"/>
      </w:pPr>
      <w:r>
        <w:rPr>
          <w:u w:val="single"/>
        </w:rPr>
        <w:t>（根据双方的意向填写，可以是表格或文字描述）。</w:t>
      </w:r>
    </w:p>
    <w:p>
      <w:pPr>
        <w:pStyle w:val="10"/>
        <w:ind w:firstLine="480"/>
        <w:jc w:val="both"/>
      </w:pPr>
      <w:r>
        <w:t>二、分包合同金额占比</w:t>
      </w:r>
    </w:p>
    <w:p>
      <w:pPr>
        <w:pStyle w:val="10"/>
        <w:ind w:firstLine="480"/>
        <w:jc w:val="both"/>
      </w:pPr>
      <w:r>
        <w:t>分包合同价占投标总价的比例：</w:t>
      </w:r>
      <w:r>
        <w:rPr>
          <w:u w:val="single"/>
        </w:rPr>
        <w:t>　　　　　</w:t>
      </w:r>
      <w:r>
        <w:t>%</w:t>
      </w:r>
    </w:p>
    <w:p>
      <w:pPr>
        <w:pStyle w:val="10"/>
        <w:ind w:firstLine="480"/>
        <w:jc w:val="both"/>
      </w:pPr>
      <w:r>
        <w:t>三、其他条款</w:t>
      </w:r>
    </w:p>
    <w:p>
      <w:pPr>
        <w:pStyle w:val="10"/>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甲方：</w:t>
            </w:r>
          </w:p>
        </w:tc>
        <w:tc>
          <w:tcPr>
            <w:tcW w:w="4153" w:type="dxa"/>
          </w:tcPr>
          <w:p>
            <w:pPr>
              <w:pStyle w:val="10"/>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住所：</w:t>
            </w:r>
          </w:p>
        </w:tc>
        <w:tc>
          <w:tcPr>
            <w:tcW w:w="4153" w:type="dxa"/>
          </w:tcPr>
          <w:p>
            <w:pPr>
              <w:pStyle w:val="10"/>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单位负责人或委托代理人：</w:t>
            </w:r>
          </w:p>
        </w:tc>
        <w:tc>
          <w:tcPr>
            <w:tcW w:w="4153" w:type="dxa"/>
          </w:tcPr>
          <w:p>
            <w:pPr>
              <w:pStyle w:val="10"/>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联系方法：</w:t>
            </w:r>
          </w:p>
        </w:tc>
        <w:tc>
          <w:tcPr>
            <w:tcW w:w="4153" w:type="dxa"/>
          </w:tcPr>
          <w:p>
            <w:pPr>
              <w:pStyle w:val="10"/>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开户银行：</w:t>
            </w:r>
          </w:p>
        </w:tc>
        <w:tc>
          <w:tcPr>
            <w:tcW w:w="4153" w:type="dxa"/>
          </w:tcPr>
          <w:p>
            <w:pPr>
              <w:pStyle w:val="10"/>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pPr>
            <w:r>
              <w:t>账号：</w:t>
            </w:r>
          </w:p>
        </w:tc>
        <w:tc>
          <w:tcPr>
            <w:tcW w:w="4153" w:type="dxa"/>
          </w:tcPr>
          <w:p>
            <w:pPr>
              <w:pStyle w:val="10"/>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right"/>
            </w:pPr>
            <w:r>
              <w:t>签订地点：</w:t>
            </w:r>
            <w:r>
              <w:rPr>
                <w:u w:val="single"/>
              </w:rPr>
              <w:t>　　　　　　　　　　</w:t>
            </w:r>
          </w:p>
          <w:p>
            <w:pPr>
              <w:pStyle w:val="10"/>
              <w:jc w:val="right"/>
            </w:pPr>
            <w:r>
              <w:t>签约日期：</w:t>
            </w:r>
            <w:r>
              <w:rPr>
                <w:u w:val="single"/>
              </w:rPr>
              <w:t>　　年　　月　　日</w:t>
            </w:r>
          </w:p>
        </w:tc>
      </w:tr>
    </w:tbl>
    <w:p>
      <w:pPr>
        <w:pStyle w:val="10"/>
        <w:ind w:firstLine="480"/>
        <w:jc w:val="both"/>
      </w:pPr>
      <w:r>
        <w:t>※注意：</w:t>
      </w:r>
    </w:p>
    <w:p>
      <w:pPr>
        <w:pStyle w:val="10"/>
        <w:ind w:firstLine="480"/>
        <w:jc w:val="both"/>
      </w:pPr>
      <w:r>
        <w:t>1.招标文件接受合同分包且投标人拟将合同分包的，应提供本协议；否则无须提供。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3.在以合同分包形式落实中小企业预留份额项目中，投标人除了要提供《中小企业声明函》，还需提供本协议。</w:t>
      </w:r>
    </w:p>
    <w:p>
      <w:pPr>
        <w:pStyle w:val="10"/>
        <w:jc w:val="both"/>
      </w:pPr>
      <w:r>
        <w:t xml:space="preserve"> </w:t>
      </w: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center"/>
        <w:outlineLvl w:val="3"/>
      </w:pPr>
      <w:r>
        <w:rPr>
          <w:b/>
          <w:sz w:val="24"/>
        </w:rPr>
        <w:t>二-12其他资格证明文件（若有）</w:t>
      </w:r>
    </w:p>
    <w:p>
      <w:pPr>
        <w:pStyle w:val="10"/>
        <w:jc w:val="center"/>
        <w:outlineLvl w:val="3"/>
      </w:pPr>
      <w:r>
        <w:rPr>
          <w:b/>
          <w:sz w:val="24"/>
        </w:rPr>
        <w:t>二-12-①具备履行合同所必需设备和专业技术能力专项证明材料（若有）</w:t>
      </w:r>
    </w:p>
    <w:p>
      <w:pPr>
        <w:pStyle w:val="10"/>
        <w:ind w:firstLine="480"/>
        <w:jc w:val="both"/>
      </w:pPr>
      <w:r>
        <w:t>致：</w:t>
      </w:r>
      <w:r>
        <w:rPr>
          <w:u w:val="single"/>
        </w:rPr>
        <w:t>（采购人或采购代理机构）</w:t>
      </w:r>
    </w:p>
    <w:p>
      <w:pPr>
        <w:pStyle w:val="10"/>
        <w:ind w:firstLine="480"/>
        <w:jc w:val="both"/>
      </w:pPr>
      <w:r>
        <w:t>现附上我方具备履行合同所必需的设备和专业技术能力的专项证明材料复印件（具体附后），上述证明材料真实有效，否则我方负全部责任。</w:t>
      </w:r>
    </w:p>
    <w:p>
      <w:pPr>
        <w:pStyle w:val="10"/>
        <w:ind w:firstLine="480"/>
        <w:jc w:val="both"/>
      </w:pPr>
      <w:r>
        <w:t>※注意：</w:t>
      </w:r>
    </w:p>
    <w:p>
      <w:pPr>
        <w:pStyle w:val="10"/>
        <w:ind w:firstLine="480"/>
        <w:jc w:val="both"/>
      </w:pPr>
      <w:r>
        <w:t>1、招标文件要求投标人提供“具备履行合同所必需的设备和专业技术能力专项证明材料”的，投标人应按照招标文件规定在此项下提供相应证明材料复印件。</w:t>
      </w:r>
    </w:p>
    <w:p>
      <w:pPr>
        <w:pStyle w:val="10"/>
        <w:ind w:firstLine="480"/>
        <w:jc w:val="both"/>
      </w:pPr>
      <w:r>
        <w:t>2、投标人提供的相应证明材料复印件均应符合：内容完整、清晰、整洁，并由投标人加盖其单位公章。</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二-12-②招标文件规定的其他资格证明文件（若有）</w:t>
      </w:r>
    </w:p>
    <w:p>
      <w:pPr>
        <w:pStyle w:val="10"/>
        <w:ind w:firstLine="480"/>
        <w:jc w:val="center"/>
      </w:pPr>
      <w:r>
        <w:t>编制说明</w:t>
      </w:r>
    </w:p>
    <w:p>
      <w:pPr>
        <w:pStyle w:val="10"/>
        <w:ind w:firstLine="480"/>
        <w:jc w:val="both"/>
      </w:pPr>
      <w:r>
        <w:t>除招标文件另有规定外，招标文件要求提交的除前述资格证明文件外的其他资格证明文件（若有）加盖投标人的单位公章后应在此项下提交。</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三、投标保证金</w:t>
      </w:r>
    </w:p>
    <w:p>
      <w:pPr>
        <w:pStyle w:val="10"/>
        <w:ind w:firstLine="480"/>
        <w:jc w:val="center"/>
      </w:pPr>
      <w:r>
        <w:t>编制说明</w:t>
      </w:r>
    </w:p>
    <w:p>
      <w:pPr>
        <w:pStyle w:val="10"/>
        <w:ind w:firstLine="480"/>
        <w:jc w:val="both"/>
      </w:pPr>
      <w:r>
        <w:t>1、在此项下提交的“投标保证金”材料可使用转账凭证复印件或从福建省政府采购网上公开信息系统中下载的有关原始页面的打印件。</w:t>
      </w:r>
    </w:p>
    <w:p>
      <w:pPr>
        <w:pStyle w:val="10"/>
        <w:ind w:firstLine="480"/>
        <w:jc w:val="both"/>
      </w:pPr>
      <w:r>
        <w:t>2、投标保证金是否已提交的认定按照招标文件第三章规定执行。</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封面格式(报价部分)</w:t>
      </w:r>
    </w:p>
    <w:p>
      <w:pPr>
        <w:pStyle w:val="10"/>
        <w:jc w:val="center"/>
        <w:outlineLvl w:val="0"/>
      </w:pPr>
      <w:r>
        <w:rPr>
          <w:b/>
          <w:sz w:val="48"/>
        </w:rPr>
        <w:t>福建省政府采购投标文件</w:t>
      </w:r>
    </w:p>
    <w:p>
      <w:pPr>
        <w:pStyle w:val="10"/>
        <w:jc w:val="center"/>
        <w:outlineLvl w:val="0"/>
      </w:pPr>
      <w:r>
        <w:rPr>
          <w:b/>
          <w:sz w:val="48"/>
        </w:rPr>
        <w:t>（报价部分）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索引</w:t>
      </w:r>
    </w:p>
    <w:p>
      <w:pPr>
        <w:pStyle w:val="10"/>
        <w:ind w:firstLine="480"/>
        <w:jc w:val="both"/>
      </w:pPr>
      <w:r>
        <w:t>一、开标一览表</w:t>
      </w:r>
    </w:p>
    <w:p>
      <w:pPr>
        <w:pStyle w:val="10"/>
        <w:ind w:firstLine="480"/>
        <w:jc w:val="both"/>
      </w:pPr>
      <w:r>
        <w:t>二、投标分项报价表</w:t>
      </w:r>
    </w:p>
    <w:p>
      <w:pPr>
        <w:pStyle w:val="10"/>
        <w:ind w:firstLine="480"/>
        <w:jc w:val="both"/>
      </w:pPr>
      <w:r>
        <w:t>三、招标文件规定的价格扣除证明材料（若有）</w:t>
      </w:r>
    </w:p>
    <w:p>
      <w:pPr>
        <w:pStyle w:val="10"/>
        <w:ind w:firstLine="480"/>
        <w:jc w:val="both"/>
      </w:pPr>
      <w:r>
        <w:t>四、招标文件规定的加分证明材料（若有）</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一、开标一览表</w:t>
      </w:r>
    </w:p>
    <w:p>
      <w:pPr>
        <w:pStyle w:val="10"/>
        <w:ind w:firstLine="480"/>
        <w:jc w:val="both"/>
      </w:pPr>
      <w:r>
        <w:t>项目编号：</w:t>
      </w:r>
      <w:r>
        <w:rPr>
          <w:u w:val="single"/>
        </w:rPr>
        <w:t>　　　　　　　　</w:t>
      </w:r>
    </w:p>
    <w:p>
      <w:pPr>
        <w:pStyle w:val="10"/>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采购包</w:t>
            </w:r>
          </w:p>
        </w:tc>
        <w:tc>
          <w:tcPr>
            <w:tcW w:w="2076" w:type="dxa"/>
          </w:tcPr>
          <w:p>
            <w:pPr>
              <w:pStyle w:val="10"/>
              <w:jc w:val="both"/>
            </w:pPr>
            <w:r>
              <w:t>投标报价</w:t>
            </w:r>
          </w:p>
        </w:tc>
        <w:tc>
          <w:tcPr>
            <w:tcW w:w="2076" w:type="dxa"/>
          </w:tcPr>
          <w:p>
            <w:pPr>
              <w:pStyle w:val="10"/>
              <w:jc w:val="both"/>
            </w:pPr>
            <w:r>
              <w:t>投标保证金</w:t>
            </w:r>
          </w:p>
        </w:tc>
        <w:tc>
          <w:tcPr>
            <w:tcW w:w="2076"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w:t>
            </w:r>
          </w:p>
        </w:tc>
        <w:tc>
          <w:tcPr>
            <w:tcW w:w="2076" w:type="dxa"/>
          </w:tcPr>
          <w:p>
            <w:pPr>
              <w:pStyle w:val="10"/>
              <w:jc w:val="both"/>
            </w:pPr>
            <w:r>
              <w:t>投标总价（大写金额）：</w:t>
            </w:r>
            <w:r>
              <w:rPr>
                <w:u w:val="single"/>
              </w:rPr>
              <w:t>　　　　　　　　</w:t>
            </w:r>
          </w:p>
        </w:tc>
        <w:tc>
          <w:tcPr>
            <w:tcW w:w="2076" w:type="dxa"/>
          </w:tcPr>
          <w:p/>
        </w:tc>
        <w:tc>
          <w:tcPr>
            <w:tcW w:w="2076" w:type="dxa"/>
            <w:vMerge w:val="restart"/>
          </w:tcPr>
          <w:p>
            <w:pPr>
              <w:pStyle w:val="10"/>
              <w:jc w:val="both"/>
            </w:pPr>
            <w:r>
              <w:t>a.&gt;投标报价的明细：详见《投标分项报价表》。</w:t>
            </w:r>
          </w:p>
          <w:p>
            <w:pPr>
              <w:pStyle w:val="10"/>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pPr>
            <w:r>
              <w:t>…</w:t>
            </w:r>
          </w:p>
        </w:tc>
        <w:tc>
          <w:tcPr>
            <w:tcW w:w="2076" w:type="dxa"/>
          </w:tcPr>
          <w:p>
            <w:pPr>
              <w:pStyle w:val="10"/>
              <w:jc w:val="both"/>
            </w:pPr>
            <w:r>
              <w:t>投标总价（大写金额）：</w:t>
            </w:r>
            <w:r>
              <w:rPr>
                <w:u w:val="single"/>
              </w:rPr>
              <w:t>　　　　　　　　</w:t>
            </w:r>
          </w:p>
        </w:tc>
        <w:tc>
          <w:tcPr>
            <w:tcW w:w="2076" w:type="dxa"/>
          </w:tcPr>
          <w:p/>
        </w:tc>
        <w:tc>
          <w:tcPr>
            <w:tcW w:w="2076" w:type="dxa"/>
            <w:vMerge w:val="continue"/>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1.1投标人应按照本表格式填写所投的采购包的“投标报价”。</w:t>
      </w:r>
    </w:p>
    <w:p>
      <w:pPr>
        <w:pStyle w:val="10"/>
        <w:ind w:firstLine="480"/>
        <w:jc w:val="both"/>
      </w:pPr>
      <w:r>
        <w:t>1.2本表中列示的“采购包”应与《投标分项报价表》中列示的“采购包”保持一致，即：若本表中列示的“采购包”为“1”时，《投标分项报价表》中列示的“采购包”亦应为“1”，以此类推。</w:t>
      </w:r>
    </w:p>
    <w:p>
      <w:pPr>
        <w:pStyle w:val="10"/>
        <w:ind w:firstLine="480"/>
        <w:jc w:val="both"/>
      </w:pPr>
      <w:r>
        <w:t>1.3“大写金额”指“投标报价”应用“壹、贰、叁、肆、伍、陆、柒、捌、玖、拾、佰、仟、万、亿、元、角、分、零”等进行填写。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二、投标分项报价表</w:t>
      </w:r>
    </w:p>
    <w:p>
      <w:pPr>
        <w:pStyle w:val="10"/>
        <w:ind w:firstLine="480"/>
        <w:jc w:val="both"/>
      </w:pPr>
      <w:r>
        <w:t>项目编号：</w:t>
      </w:r>
      <w:r>
        <w:rPr>
          <w:u w:val="single"/>
        </w:rPr>
        <w:t>　　　　　　　　</w:t>
      </w:r>
    </w:p>
    <w:p>
      <w:pPr>
        <w:pStyle w:val="10"/>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pPr>
            <w:r>
              <w:t>采购包</w:t>
            </w:r>
          </w:p>
        </w:tc>
        <w:tc>
          <w:tcPr>
            <w:tcW w:w="923" w:type="dxa"/>
          </w:tcPr>
          <w:p>
            <w:pPr>
              <w:pStyle w:val="10"/>
              <w:jc w:val="both"/>
            </w:pPr>
            <w:r>
              <w:t>品目号</w:t>
            </w:r>
          </w:p>
        </w:tc>
        <w:tc>
          <w:tcPr>
            <w:tcW w:w="923" w:type="dxa"/>
          </w:tcPr>
          <w:p>
            <w:pPr>
              <w:pStyle w:val="10"/>
              <w:jc w:val="both"/>
            </w:pPr>
            <w:r>
              <w:t>投标标的</w:t>
            </w:r>
          </w:p>
        </w:tc>
        <w:tc>
          <w:tcPr>
            <w:tcW w:w="923" w:type="dxa"/>
          </w:tcPr>
          <w:p>
            <w:pPr>
              <w:pStyle w:val="10"/>
              <w:jc w:val="both"/>
            </w:pPr>
            <w:r>
              <w:t>规格</w:t>
            </w:r>
          </w:p>
        </w:tc>
        <w:tc>
          <w:tcPr>
            <w:tcW w:w="923" w:type="dxa"/>
          </w:tcPr>
          <w:p>
            <w:pPr>
              <w:pStyle w:val="10"/>
              <w:jc w:val="both"/>
            </w:pPr>
            <w:r>
              <w:t>来源地</w:t>
            </w:r>
          </w:p>
        </w:tc>
        <w:tc>
          <w:tcPr>
            <w:tcW w:w="923" w:type="dxa"/>
          </w:tcPr>
          <w:p>
            <w:pPr>
              <w:pStyle w:val="10"/>
              <w:jc w:val="both"/>
            </w:pPr>
            <w:r>
              <w:t>单价（现场）</w:t>
            </w:r>
          </w:p>
        </w:tc>
        <w:tc>
          <w:tcPr>
            <w:tcW w:w="923" w:type="dxa"/>
          </w:tcPr>
          <w:p>
            <w:pPr>
              <w:pStyle w:val="10"/>
              <w:jc w:val="both"/>
            </w:pPr>
            <w:r>
              <w:t>数量</w:t>
            </w:r>
          </w:p>
        </w:tc>
        <w:tc>
          <w:tcPr>
            <w:tcW w:w="923" w:type="dxa"/>
          </w:tcPr>
          <w:p>
            <w:pPr>
              <w:pStyle w:val="10"/>
              <w:jc w:val="both"/>
            </w:pPr>
            <w:r>
              <w:t>总价（现场）</w:t>
            </w:r>
          </w:p>
        </w:tc>
        <w:tc>
          <w:tcPr>
            <w:tcW w:w="923"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jc w:val="both"/>
            </w:pPr>
            <w:r>
              <w:t>*</w:t>
            </w:r>
          </w:p>
        </w:tc>
        <w:tc>
          <w:tcPr>
            <w:tcW w:w="923" w:type="dxa"/>
          </w:tcPr>
          <w:p>
            <w:pPr>
              <w:pStyle w:val="10"/>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0"/>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pPr>
      <w:r>
        <w:t>1.3“投标标的”为服务的：“规格”项下应填写服务提供者提供的服务标准及品牌（若有）。“来源地”应填写服务提供者的所在地。</w:t>
      </w:r>
    </w:p>
    <w:p>
      <w:pPr>
        <w:pStyle w:val="10"/>
        <w:ind w:firstLine="480"/>
        <w:jc w:val="both"/>
      </w:pPr>
      <w:r>
        <w:t>1.4同一采购包中，“单价（现场）”×“数量”=“总价（现场）”，全部品目号“总价（现场）”的合计金额应与《开标一览表》中相应采购包列示的“投标总价”保持一致。</w:t>
      </w:r>
    </w:p>
    <w:p>
      <w:pPr>
        <w:pStyle w:val="10"/>
        <w:ind w:firstLine="480"/>
        <w:jc w:val="both"/>
      </w:pPr>
      <w:r>
        <w:t>1.5若招标文件要求投标人对“备品备件价格、专用工具价格、技术服务费、安装调试费、检验培训费、运输费、保险费、税收”等进行报价的，请在本表的“备注”项下填写。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三、招标文件规定的价格扣除证明材料（若有）</w:t>
      </w:r>
    </w:p>
    <w:p>
      <w:pPr>
        <w:pStyle w:val="10"/>
        <w:jc w:val="center"/>
        <w:outlineLvl w:val="3"/>
      </w:pPr>
      <w:r>
        <w:rPr>
          <w:b/>
          <w:sz w:val="24"/>
        </w:rPr>
        <w:t>三-1优先类节能产品、环境标志产品价格扣除证明材料（若有）</w:t>
      </w:r>
    </w:p>
    <w:p>
      <w:pPr>
        <w:pStyle w:val="10"/>
        <w:jc w:val="center"/>
        <w:outlineLvl w:val="3"/>
      </w:pPr>
      <w:r>
        <w:rPr>
          <w:b/>
          <w:sz w:val="24"/>
        </w:rPr>
        <w:t>三-1-①优先类节能产品、环境标志产品统计表（价格扣除适用，若有）</w:t>
      </w:r>
    </w:p>
    <w:p>
      <w:pPr>
        <w:pStyle w:val="10"/>
        <w:ind w:firstLine="480"/>
        <w:jc w:val="both"/>
      </w:pPr>
      <w:r>
        <w:t>项目编号：</w:t>
      </w:r>
      <w:r>
        <w:rPr>
          <w:u w:val="single"/>
        </w:rPr>
        <w:t>　　　　　　　　</w:t>
      </w:r>
    </w:p>
    <w:p>
      <w:pPr>
        <w:pStyle w:val="10"/>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采购包</w:t>
            </w:r>
          </w:p>
        </w:tc>
        <w:tc>
          <w:tcPr>
            <w:tcW w:w="1187" w:type="dxa"/>
          </w:tcPr>
          <w:p>
            <w:pPr>
              <w:pStyle w:val="10"/>
              <w:jc w:val="both"/>
            </w:pPr>
            <w:r>
              <w:t>品目号</w:t>
            </w:r>
          </w:p>
        </w:tc>
        <w:tc>
          <w:tcPr>
            <w:tcW w:w="1187" w:type="dxa"/>
          </w:tcPr>
          <w:p>
            <w:pPr>
              <w:pStyle w:val="10"/>
              <w:jc w:val="both"/>
            </w:pPr>
            <w:r>
              <w:t>货物名称</w:t>
            </w:r>
          </w:p>
        </w:tc>
        <w:tc>
          <w:tcPr>
            <w:tcW w:w="1187" w:type="dxa"/>
          </w:tcPr>
          <w:p>
            <w:pPr>
              <w:pStyle w:val="10"/>
              <w:jc w:val="both"/>
            </w:pPr>
            <w:r>
              <w:t>单价（现场）</w:t>
            </w:r>
          </w:p>
        </w:tc>
        <w:tc>
          <w:tcPr>
            <w:tcW w:w="1187" w:type="dxa"/>
          </w:tcPr>
          <w:p>
            <w:pPr>
              <w:pStyle w:val="10"/>
              <w:jc w:val="both"/>
            </w:pPr>
            <w:r>
              <w:t>数量</w:t>
            </w:r>
          </w:p>
        </w:tc>
        <w:tc>
          <w:tcPr>
            <w:tcW w:w="1187" w:type="dxa"/>
          </w:tcPr>
          <w:p>
            <w:pPr>
              <w:pStyle w:val="10"/>
              <w:jc w:val="both"/>
            </w:pPr>
            <w:r>
              <w:t>总价（现场）</w:t>
            </w:r>
          </w:p>
        </w:tc>
        <w:tc>
          <w:tcPr>
            <w:tcW w:w="1187" w:type="dxa"/>
          </w:tcPr>
          <w:p>
            <w:pPr>
              <w:pStyle w:val="10"/>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pPr>
            <w:r>
              <w:t>*</w:t>
            </w:r>
          </w:p>
        </w:tc>
        <w:tc>
          <w:tcPr>
            <w:tcW w:w="1187" w:type="dxa"/>
          </w:tcPr>
          <w:p>
            <w:pPr>
              <w:pStyle w:val="1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备注</w:t>
            </w:r>
          </w:p>
        </w:tc>
        <w:tc>
          <w:tcPr>
            <w:tcW w:w="7122" w:type="dxa"/>
            <w:gridSpan w:val="6"/>
          </w:tcPr>
          <w:p>
            <w:pPr>
              <w:pStyle w:val="10"/>
              <w:jc w:val="both"/>
            </w:pPr>
            <w:r>
              <w:t>a.采购包内属于节能、环境标志产品的报价总金额：</w:t>
            </w:r>
            <w:r>
              <w:rPr>
                <w:u w:val="single"/>
              </w:rPr>
              <w:t>　　　　　</w:t>
            </w:r>
            <w:r>
              <w:t>；</w:t>
            </w:r>
          </w:p>
          <w:p>
            <w:pPr>
              <w:pStyle w:val="10"/>
              <w:jc w:val="both"/>
            </w:pPr>
            <w:r>
              <w:t>b.采购包投标总价（报价总金额）：</w:t>
            </w:r>
            <w:r>
              <w:rPr>
                <w:u w:val="single"/>
              </w:rPr>
              <w:t>　　　　　</w:t>
            </w:r>
            <w:r>
              <w:t>；</w:t>
            </w:r>
          </w:p>
          <w:p>
            <w:pPr>
              <w:pStyle w:val="10"/>
              <w:jc w:val="both"/>
            </w:pPr>
            <w:r>
              <w:t>c.“采购包内属于节能、环境标志产品的报价总金额”占“采购包投标总价（报价总金额）”的比例（以%列示）：</w:t>
            </w:r>
            <w:r>
              <w:rPr>
                <w:u w:val="single"/>
              </w:rPr>
              <w:t>　　　　　</w:t>
            </w:r>
            <w:r>
              <w:t>；</w:t>
            </w:r>
          </w:p>
        </w:tc>
      </w:tr>
    </w:tbl>
    <w:p>
      <w:pPr>
        <w:pStyle w:val="10"/>
        <w:ind w:firstLine="480"/>
        <w:jc w:val="both"/>
      </w:pPr>
      <w:r>
        <w:t>※注意：</w:t>
      </w:r>
    </w:p>
    <w:p>
      <w:pPr>
        <w:pStyle w:val="10"/>
        <w:ind w:firstLine="480"/>
        <w:jc w:val="both"/>
      </w:pPr>
      <w:r>
        <w:t>1、对节能、环境标志产品计算价格扣除时，只依据电子投标文件“三-1-②优先类节能产品、环境标志产品证明材料（价格扣除适用，若有）”。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三-1-②优先类节能产品、环境标志产品证明材料（价格扣除适用，若有）</w:t>
      </w:r>
    </w:p>
    <w:p>
      <w:pPr>
        <w:pStyle w:val="10"/>
        <w:jc w:val="center"/>
        <w:outlineLvl w:val="3"/>
      </w:pPr>
      <w:r>
        <w:rPr>
          <w:b/>
          <w:sz w:val="24"/>
        </w:rPr>
        <w:t>三-2小型、微型企业产品等价格扣除证明材料（若有）</w:t>
      </w:r>
    </w:p>
    <w:p>
      <w:pPr>
        <w:pStyle w:val="10"/>
        <w:jc w:val="center"/>
        <w:outlineLvl w:val="3"/>
      </w:pPr>
      <w:r>
        <w:rPr>
          <w:b/>
          <w:sz w:val="24"/>
        </w:rPr>
        <w:t>三-2-①中小企业声明函（价格扣除适用，若有）</w:t>
      </w:r>
    </w:p>
    <w:p>
      <w:pPr>
        <w:pStyle w:val="10"/>
        <w:jc w:val="center"/>
        <w:outlineLvl w:val="3"/>
      </w:pPr>
      <w:r>
        <w:rPr>
          <w:b/>
          <w:sz w:val="24"/>
        </w:rPr>
        <w:t>中小企业声明函（货物）</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rPr>
          <w:b/>
          <w:sz w:val="24"/>
        </w:rPr>
      </w:pPr>
    </w:p>
    <w:p>
      <w:pPr>
        <w:pStyle w:val="10"/>
        <w:jc w:val="center"/>
        <w:outlineLvl w:val="3"/>
      </w:pPr>
      <w:r>
        <w:rPr>
          <w:b/>
          <w:sz w:val="24"/>
        </w:rPr>
        <w:t>中小企业声明函（工程、服务）</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pPr>
      <w:r>
        <w:rPr>
          <w:b/>
          <w:sz w:val="24"/>
        </w:rPr>
        <w:t>三-2-②小型、微型企业等证明材料（价格扣除适用，若有）</w:t>
      </w:r>
    </w:p>
    <w:p>
      <w:pPr>
        <w:pStyle w:val="10"/>
        <w:ind w:firstLine="480"/>
        <w:jc w:val="center"/>
      </w:pPr>
      <w:r>
        <w:t>编制说明</w:t>
      </w:r>
    </w:p>
    <w:p>
      <w:pPr>
        <w:pStyle w:val="10"/>
        <w:ind w:firstLine="480"/>
        <w:jc w:val="both"/>
      </w:pPr>
      <w:r>
        <w:t>1、投标人应按照招标文件要求提供相应证明材料，证明材料应与《中小企业声明函》的内容相一致，否则视为《中小企业声明函》内容不真实。</w:t>
      </w:r>
    </w:p>
    <w:p>
      <w:pPr>
        <w:pStyle w:val="10"/>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10"/>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p>
    <w:p>
      <w:pPr>
        <w:pStyle w:val="10"/>
        <w:ind w:firstLine="480"/>
        <w:jc w:val="both"/>
      </w:pPr>
      <w:r>
        <w:t>附：</w:t>
      </w:r>
    </w:p>
    <w:p>
      <w:pPr>
        <w:pStyle w:val="10"/>
        <w:jc w:val="center"/>
        <w:outlineLvl w:val="3"/>
      </w:pPr>
      <w:r>
        <w:rPr>
          <w:b/>
          <w:sz w:val="24"/>
        </w:rPr>
        <w:t>残疾人福利性单位声明函（价格扣除适用，若有）</w:t>
      </w:r>
    </w:p>
    <w:p>
      <w:pPr>
        <w:pStyle w:val="10"/>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ind w:firstLine="480"/>
        <w:jc w:val="both"/>
      </w:pPr>
      <w:r>
        <w:t>附：</w:t>
      </w:r>
    </w:p>
    <w:p>
      <w:pPr>
        <w:pStyle w:val="1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jc w:val="both"/>
      </w:pPr>
      <w:r>
        <w:t xml:space="preserve"> </w:t>
      </w:r>
    </w:p>
    <w:p>
      <w:pPr>
        <w:pStyle w:val="10"/>
        <w:jc w:val="center"/>
        <w:outlineLvl w:val="3"/>
      </w:pPr>
      <w:r>
        <w:rPr>
          <w:b/>
          <w:sz w:val="24"/>
        </w:rPr>
        <w:t>三-3招标文件规定的其他价格扣除证明材料（若有）</w:t>
      </w:r>
    </w:p>
    <w:p>
      <w:pPr>
        <w:pStyle w:val="10"/>
        <w:ind w:firstLine="480"/>
        <w:jc w:val="center"/>
      </w:pPr>
      <w:r>
        <w:t>编制说明</w:t>
      </w:r>
    </w:p>
    <w:p>
      <w:pPr>
        <w:pStyle w:val="10"/>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四、招标文件规定的加分证明材料（若有）</w:t>
      </w:r>
    </w:p>
    <w:p>
      <w:pPr>
        <w:pStyle w:val="10"/>
        <w:jc w:val="center"/>
        <w:outlineLvl w:val="3"/>
      </w:pPr>
      <w:r>
        <w:rPr>
          <w:b/>
          <w:sz w:val="24"/>
        </w:rPr>
        <w:t>四-1优先类节能产品、环境标志产品加分证明材料（若有）</w:t>
      </w:r>
    </w:p>
    <w:p>
      <w:pPr>
        <w:pStyle w:val="10"/>
        <w:jc w:val="center"/>
        <w:outlineLvl w:val="3"/>
      </w:pPr>
      <w:r>
        <w:rPr>
          <w:b/>
          <w:sz w:val="24"/>
        </w:rPr>
        <w:t>四-1-①优先类节能产品、环境标志产品统计表（加分适用，若有）</w:t>
      </w:r>
    </w:p>
    <w:p>
      <w:pPr>
        <w:pStyle w:val="10"/>
        <w:ind w:firstLine="480"/>
        <w:jc w:val="both"/>
      </w:pPr>
      <w:r>
        <w:t>项目编号：</w:t>
      </w:r>
      <w:r>
        <w:rPr>
          <w:u w:val="single"/>
        </w:rPr>
        <w:t>　　　　　　　　</w:t>
      </w:r>
    </w:p>
    <w:p>
      <w:pPr>
        <w:pStyle w:val="10"/>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采购包</w:t>
            </w:r>
          </w:p>
        </w:tc>
        <w:tc>
          <w:tcPr>
            <w:tcW w:w="1187" w:type="dxa"/>
          </w:tcPr>
          <w:p>
            <w:pPr>
              <w:pStyle w:val="10"/>
              <w:jc w:val="both"/>
            </w:pPr>
            <w:r>
              <w:t>品目号</w:t>
            </w:r>
          </w:p>
        </w:tc>
        <w:tc>
          <w:tcPr>
            <w:tcW w:w="1187" w:type="dxa"/>
          </w:tcPr>
          <w:p>
            <w:pPr>
              <w:pStyle w:val="10"/>
              <w:jc w:val="both"/>
            </w:pPr>
            <w:r>
              <w:t>货物名称</w:t>
            </w:r>
          </w:p>
        </w:tc>
        <w:tc>
          <w:tcPr>
            <w:tcW w:w="1187" w:type="dxa"/>
          </w:tcPr>
          <w:p>
            <w:pPr>
              <w:pStyle w:val="10"/>
              <w:jc w:val="both"/>
            </w:pPr>
            <w:r>
              <w:t>单价（现场）</w:t>
            </w:r>
          </w:p>
        </w:tc>
        <w:tc>
          <w:tcPr>
            <w:tcW w:w="1187" w:type="dxa"/>
          </w:tcPr>
          <w:p>
            <w:pPr>
              <w:pStyle w:val="10"/>
              <w:jc w:val="both"/>
            </w:pPr>
            <w:r>
              <w:t>数量</w:t>
            </w:r>
          </w:p>
        </w:tc>
        <w:tc>
          <w:tcPr>
            <w:tcW w:w="1187" w:type="dxa"/>
          </w:tcPr>
          <w:p>
            <w:pPr>
              <w:pStyle w:val="10"/>
              <w:jc w:val="both"/>
            </w:pPr>
            <w:r>
              <w:t>总价（现场）</w:t>
            </w:r>
          </w:p>
        </w:tc>
        <w:tc>
          <w:tcPr>
            <w:tcW w:w="1187" w:type="dxa"/>
          </w:tcPr>
          <w:p>
            <w:pPr>
              <w:pStyle w:val="10"/>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pPr>
            <w:r>
              <w:t>*</w:t>
            </w:r>
          </w:p>
        </w:tc>
        <w:tc>
          <w:tcPr>
            <w:tcW w:w="1187" w:type="dxa"/>
          </w:tcPr>
          <w:p>
            <w:pPr>
              <w:pStyle w:val="1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jc w:val="both"/>
      </w:pPr>
      <w:r>
        <w:t>※注意：</w:t>
      </w:r>
    </w:p>
    <w:p>
      <w:pPr>
        <w:pStyle w:val="10"/>
        <w:ind w:firstLine="480"/>
        <w:jc w:val="both"/>
      </w:pPr>
      <w:r>
        <w:t>1、对节能、环境标志产品计算价格扣除时，只依据电子投标文件“四-1-②优先类节能产品、环境标志产品加分证明材料（加分适用，若有）”。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四-1-②优先类节能产品、环境标志产品证明材料（加分适用，若有）</w:t>
      </w:r>
    </w:p>
    <w:p>
      <w:pPr>
        <w:pStyle w:val="10"/>
        <w:jc w:val="center"/>
        <w:outlineLvl w:val="3"/>
      </w:pPr>
      <w:r>
        <w:rPr>
          <w:b/>
          <w:sz w:val="24"/>
        </w:rPr>
        <w:t>四-2招标文件规定的其他加分证明材料（若有）</w:t>
      </w:r>
    </w:p>
    <w:p>
      <w:pPr>
        <w:pStyle w:val="10"/>
        <w:ind w:firstLine="480"/>
        <w:jc w:val="center"/>
      </w:pPr>
      <w:r>
        <w:t>编制说明</w:t>
      </w:r>
    </w:p>
    <w:p>
      <w:pPr>
        <w:pStyle w:val="10"/>
        <w:ind w:firstLine="480"/>
        <w:jc w:val="both"/>
      </w:pPr>
      <w:r>
        <w:t>若投标人可享受招标文件规定的除“优先类节能产品、环境标志产品加分”外的其他加分优惠，则投标人应按照招标文件要求提供相应证明材料。</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封面格式(技术商务部分)</w:t>
      </w:r>
    </w:p>
    <w:p>
      <w:pPr>
        <w:pStyle w:val="10"/>
        <w:jc w:val="center"/>
        <w:outlineLvl w:val="0"/>
      </w:pPr>
      <w:r>
        <w:rPr>
          <w:b/>
          <w:sz w:val="48"/>
        </w:rPr>
        <w:t>福建省政府采购投标文件</w:t>
      </w:r>
    </w:p>
    <w:p>
      <w:pPr>
        <w:pStyle w:val="10"/>
        <w:jc w:val="center"/>
        <w:outlineLvl w:val="0"/>
      </w:pPr>
      <w:r>
        <w:rPr>
          <w:b/>
          <w:sz w:val="48"/>
        </w:rPr>
        <w:t>（技术商务部分）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center"/>
        <w:outlineLvl w:val="2"/>
      </w:pPr>
      <w:r>
        <w:rPr>
          <w:b/>
          <w:sz w:val="28"/>
        </w:rPr>
        <w:t>索引</w:t>
      </w:r>
    </w:p>
    <w:p>
      <w:pPr>
        <w:pStyle w:val="10"/>
        <w:ind w:firstLine="480"/>
        <w:jc w:val="both"/>
      </w:pPr>
      <w:r>
        <w:t>一、标的说明一览表</w:t>
      </w:r>
    </w:p>
    <w:p>
      <w:pPr>
        <w:pStyle w:val="10"/>
        <w:ind w:firstLine="480"/>
        <w:jc w:val="both"/>
      </w:pPr>
      <w:r>
        <w:t>二、技术和服务要求响应表</w:t>
      </w:r>
    </w:p>
    <w:p>
      <w:pPr>
        <w:pStyle w:val="10"/>
        <w:ind w:firstLine="480"/>
        <w:jc w:val="both"/>
      </w:pPr>
      <w:r>
        <w:t>三、商务条件响应表</w:t>
      </w:r>
    </w:p>
    <w:p>
      <w:pPr>
        <w:pStyle w:val="10"/>
        <w:ind w:firstLine="480"/>
        <w:jc w:val="both"/>
      </w:pPr>
      <w:r>
        <w:t>四、投标人提交的其他资料（若有）</w:t>
      </w:r>
    </w:p>
    <w:p>
      <w:pPr>
        <w:pStyle w:val="10"/>
        <w:ind w:firstLine="480"/>
        <w:jc w:val="both"/>
      </w:pPr>
      <w:r>
        <w:t>※注意</w:t>
      </w:r>
    </w:p>
    <w:p>
      <w:pPr>
        <w:pStyle w:val="10"/>
        <w:ind w:firstLine="480"/>
        <w:jc w:val="both"/>
      </w:pPr>
      <w:r>
        <w:t>技术商务部分中不得出现报价部分的全部或部分的投标报价信息（或组成资料），否则符合性审查不合格。</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一、标的说明一览表</w:t>
      </w:r>
    </w:p>
    <w:p>
      <w:pPr>
        <w:pStyle w:val="10"/>
        <w:ind w:firstLine="480"/>
        <w:jc w:val="both"/>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pPr>
            <w:r>
              <w:t>采购包</w:t>
            </w:r>
          </w:p>
        </w:tc>
        <w:tc>
          <w:tcPr>
            <w:tcW w:w="1187" w:type="dxa"/>
          </w:tcPr>
          <w:p>
            <w:pPr>
              <w:pStyle w:val="10"/>
              <w:jc w:val="both"/>
            </w:pPr>
            <w:r>
              <w:t>品目号</w:t>
            </w:r>
          </w:p>
        </w:tc>
        <w:tc>
          <w:tcPr>
            <w:tcW w:w="1187" w:type="dxa"/>
          </w:tcPr>
          <w:p>
            <w:pPr>
              <w:pStyle w:val="10"/>
              <w:jc w:val="both"/>
            </w:pPr>
            <w:r>
              <w:t>投标标的</w:t>
            </w:r>
          </w:p>
        </w:tc>
        <w:tc>
          <w:tcPr>
            <w:tcW w:w="1187" w:type="dxa"/>
          </w:tcPr>
          <w:p>
            <w:pPr>
              <w:pStyle w:val="10"/>
              <w:jc w:val="both"/>
            </w:pPr>
            <w:r>
              <w:t>数量</w:t>
            </w:r>
          </w:p>
        </w:tc>
        <w:tc>
          <w:tcPr>
            <w:tcW w:w="1187" w:type="dxa"/>
          </w:tcPr>
          <w:p>
            <w:pPr>
              <w:pStyle w:val="10"/>
              <w:jc w:val="both"/>
            </w:pPr>
            <w:r>
              <w:t>规格</w:t>
            </w:r>
          </w:p>
        </w:tc>
        <w:tc>
          <w:tcPr>
            <w:tcW w:w="1187" w:type="dxa"/>
          </w:tcPr>
          <w:p>
            <w:pPr>
              <w:pStyle w:val="10"/>
              <w:jc w:val="both"/>
            </w:pPr>
            <w:r>
              <w:t>来源地</w:t>
            </w:r>
          </w:p>
        </w:tc>
        <w:tc>
          <w:tcPr>
            <w:tcW w:w="1187" w:type="dxa"/>
          </w:tcPr>
          <w:p>
            <w:pPr>
              <w:pStyle w:val="10"/>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pPr>
            <w:r>
              <w:t>*</w:t>
            </w:r>
          </w:p>
        </w:tc>
        <w:tc>
          <w:tcPr>
            <w:tcW w:w="1187" w:type="dxa"/>
          </w:tcPr>
          <w:p>
            <w:pPr>
              <w:pStyle w:val="10"/>
              <w:jc w:val="both"/>
            </w:pPr>
            <w:r>
              <w:t>*-1</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0"/>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1.1“采购包”、“品目号”、“投标标的”及“数量”应与招标文件《采购标的一览表》中的有关内容（“采购包”、“品目号”、“采购标的”及“数量”）保持一致。</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pPr>
      <w:r>
        <w:t>3、电子投标文件中涉及“投标标的”、“数量”、“规格”、“来源地”的内容若不一致，应以本表为准。</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二、技术和服务要求响应表</w:t>
      </w:r>
    </w:p>
    <w:p>
      <w:pPr>
        <w:pStyle w:val="10"/>
        <w:ind w:firstLine="480"/>
        <w:jc w:val="both"/>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采购包</w:t>
            </w:r>
          </w:p>
        </w:tc>
        <w:tc>
          <w:tcPr>
            <w:tcW w:w="1661" w:type="dxa"/>
          </w:tcPr>
          <w:p>
            <w:pPr>
              <w:pStyle w:val="10"/>
              <w:jc w:val="both"/>
            </w:pPr>
            <w:r>
              <w:t>品目号</w:t>
            </w:r>
          </w:p>
        </w:tc>
        <w:tc>
          <w:tcPr>
            <w:tcW w:w="1661" w:type="dxa"/>
          </w:tcPr>
          <w:p>
            <w:pPr>
              <w:pStyle w:val="10"/>
              <w:jc w:val="both"/>
            </w:pPr>
            <w:r>
              <w:t>技术和服务要求</w:t>
            </w:r>
          </w:p>
        </w:tc>
        <w:tc>
          <w:tcPr>
            <w:tcW w:w="1661" w:type="dxa"/>
          </w:tcPr>
          <w:p>
            <w:pPr>
              <w:pStyle w:val="10"/>
              <w:jc w:val="both"/>
            </w:pPr>
            <w:r>
              <w:t>投标响应</w:t>
            </w:r>
          </w:p>
        </w:tc>
        <w:tc>
          <w:tcPr>
            <w:tcW w:w="1661" w:type="dxa"/>
          </w:tcPr>
          <w:p>
            <w:pPr>
              <w:pStyle w:val="10"/>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pPr>
            <w:r>
              <w:t>*</w:t>
            </w:r>
          </w:p>
        </w:tc>
        <w:tc>
          <w:tcPr>
            <w:tcW w:w="1661" w:type="dxa"/>
          </w:tcPr>
          <w:p>
            <w:pPr>
              <w:pStyle w:val="10"/>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w:t>
            </w:r>
          </w:p>
        </w:tc>
        <w:tc>
          <w:tcPr>
            <w:tcW w:w="1661" w:type="dxa"/>
          </w:tcPr>
          <w:p/>
        </w:tc>
        <w:tc>
          <w:tcPr>
            <w:tcW w:w="1661" w:type="dxa"/>
          </w:tcPr>
          <w:p/>
        </w:tc>
        <w:tc>
          <w:tcPr>
            <w:tcW w:w="1661" w:type="dxa"/>
          </w:tcPr>
          <w:p/>
        </w:tc>
        <w:tc>
          <w:tcPr>
            <w:tcW w:w="1661"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1.1“技术和服务要求”项下填写的内容应与招标文件第五章“技术和服务要求”的内容保持一致。</w:t>
      </w:r>
    </w:p>
    <w:p>
      <w:pPr>
        <w:pStyle w:val="10"/>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三、商务条件响应表</w:t>
      </w:r>
    </w:p>
    <w:p>
      <w:pPr>
        <w:pStyle w:val="10"/>
        <w:ind w:firstLine="480"/>
        <w:jc w:val="both"/>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采购包</w:t>
            </w:r>
          </w:p>
        </w:tc>
        <w:tc>
          <w:tcPr>
            <w:tcW w:w="1661" w:type="dxa"/>
          </w:tcPr>
          <w:p>
            <w:pPr>
              <w:pStyle w:val="10"/>
              <w:jc w:val="both"/>
            </w:pPr>
            <w:r>
              <w:t>品目号</w:t>
            </w:r>
          </w:p>
        </w:tc>
        <w:tc>
          <w:tcPr>
            <w:tcW w:w="1661" w:type="dxa"/>
          </w:tcPr>
          <w:p>
            <w:pPr>
              <w:pStyle w:val="10"/>
              <w:jc w:val="both"/>
            </w:pPr>
            <w:r>
              <w:t>商务条件</w:t>
            </w:r>
          </w:p>
        </w:tc>
        <w:tc>
          <w:tcPr>
            <w:tcW w:w="1661" w:type="dxa"/>
          </w:tcPr>
          <w:p>
            <w:pPr>
              <w:pStyle w:val="10"/>
              <w:jc w:val="both"/>
            </w:pPr>
            <w:r>
              <w:t>投标响应</w:t>
            </w:r>
          </w:p>
        </w:tc>
        <w:tc>
          <w:tcPr>
            <w:tcW w:w="1661" w:type="dxa"/>
          </w:tcPr>
          <w:p>
            <w:pPr>
              <w:pStyle w:val="10"/>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pPr>
            <w:r>
              <w:t>*</w:t>
            </w:r>
          </w:p>
        </w:tc>
        <w:tc>
          <w:tcPr>
            <w:tcW w:w="1661" w:type="dxa"/>
          </w:tcPr>
          <w:p>
            <w:pPr>
              <w:pStyle w:val="10"/>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pPr>
            <w:r>
              <w:t>…</w:t>
            </w:r>
          </w:p>
        </w:tc>
        <w:tc>
          <w:tcPr>
            <w:tcW w:w="1661" w:type="dxa"/>
          </w:tcPr>
          <w:p/>
        </w:tc>
        <w:tc>
          <w:tcPr>
            <w:tcW w:w="1661" w:type="dxa"/>
          </w:tcPr>
          <w:p/>
        </w:tc>
        <w:tc>
          <w:tcPr>
            <w:tcW w:w="1661" w:type="dxa"/>
          </w:tcPr>
          <w:p/>
        </w:tc>
        <w:tc>
          <w:tcPr>
            <w:tcW w:w="1661" w:type="dxa"/>
          </w:tcPr>
          <w:p/>
        </w:tc>
      </w:tr>
    </w:tbl>
    <w:p>
      <w:pPr>
        <w:pStyle w:val="10"/>
        <w:ind w:firstLine="480"/>
        <w:jc w:val="both"/>
      </w:pPr>
      <w:r>
        <w:t>※注意：</w:t>
      </w:r>
    </w:p>
    <w:p>
      <w:pPr>
        <w:pStyle w:val="10"/>
        <w:ind w:firstLine="480"/>
        <w:jc w:val="both"/>
      </w:pPr>
      <w:r>
        <w:t>1、本表应按照下列规定填写：</w:t>
      </w:r>
    </w:p>
    <w:p>
      <w:pPr>
        <w:pStyle w:val="10"/>
        <w:ind w:firstLine="480"/>
        <w:jc w:val="both"/>
      </w:pPr>
      <w:r>
        <w:t>1.1“商务条件”项下填写的内容应与招标文件第五章“商务条件”的内容保持一致。</w:t>
      </w:r>
    </w:p>
    <w:p>
      <w:pPr>
        <w:pStyle w:val="10"/>
        <w:ind w:firstLine="480"/>
        <w:jc w:val="both"/>
      </w:pPr>
      <w:r>
        <w:t>1.2“投标响应”项下应填写具体的响应内容并与“商务条件”项下填写的内容逐项对应；对“商务条件”项下涉及“≥或＞”、“≤或＜”及某个区间值范围内的内容，应填写具体的数值。</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四、投标人提交的其他资料（若有）</w:t>
      </w:r>
    </w:p>
    <w:p>
      <w:pPr>
        <w:pStyle w:val="10"/>
        <w:ind w:firstLine="480"/>
        <w:jc w:val="center"/>
      </w:pPr>
      <w:r>
        <w:t>编制说明</w:t>
      </w:r>
    </w:p>
    <w:p>
      <w:pPr>
        <w:pStyle w:val="10"/>
        <w:ind w:firstLine="480"/>
        <w:jc w:val="both"/>
      </w:pPr>
      <w:r>
        <w:t>1、招标文件要求提交的除“资格及资信证明部分”、“报价部分”外的其他证明材料或资料加盖投标人的单位公章后应在此项下提交。</w:t>
      </w:r>
    </w:p>
    <w:p>
      <w:pPr>
        <w:pStyle w:val="10"/>
        <w:ind w:firstLine="480"/>
        <w:jc w:val="both"/>
      </w:pPr>
      <w:r>
        <w:t>2、招标文件要求投标人提供方案（包括但不限于：组织、实施、技术、服务方案等）的，投标人应在此项下提交。</w:t>
      </w:r>
    </w:p>
    <w:p>
      <w:pPr>
        <w:pStyle w:val="10"/>
        <w:ind w:firstLine="480"/>
        <w:jc w:val="both"/>
      </w:pPr>
      <w:r>
        <w:t>3、除招标文件另有规定外，投标人认为需要提交的其他证明材料或资料加盖投标人的单位公章后应在此项下提交。</w:t>
      </w:r>
    </w:p>
    <w:p>
      <w:pPr>
        <w:pStyle w:val="10"/>
        <w:rPr>
          <w:rFonts w:hint="eastAsia"/>
          <w:lang w:val="en-US" w:eastAsia="zh-Hans"/>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5866D"/>
    <w:multiLevelType w:val="singleLevel"/>
    <w:tmpl w:val="4165866D"/>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OGMxZDYzMzVmMTA1YTRlYjI0NGY4N2Y2OGVjZGIifQ=="/>
  </w:docVars>
  <w:rsids>
    <w:rsidRoot w:val="53B52B8D"/>
    <w:rsid w:val="0F96251F"/>
    <w:rsid w:val="177F50ED"/>
    <w:rsid w:val="1E5B441F"/>
    <w:rsid w:val="215C532B"/>
    <w:rsid w:val="22B8599C"/>
    <w:rsid w:val="22D30FD2"/>
    <w:rsid w:val="3CFF358E"/>
    <w:rsid w:val="43B94D85"/>
    <w:rsid w:val="53B52B8D"/>
    <w:rsid w:val="53BE52E0"/>
    <w:rsid w:val="54466874"/>
    <w:rsid w:val="652575B0"/>
    <w:rsid w:val="77F79321"/>
    <w:rsid w:val="783B356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纯文本 New"/>
    <w:basedOn w:val="1"/>
    <w:qFormat/>
    <w:uiPriority w:val="0"/>
    <w:pPr>
      <w:widowControl/>
      <w:jc w:val="left"/>
    </w:pPr>
    <w:rPr>
      <w:rFonts w:ascii="宋体" w:hAnsi="Courier New"/>
      <w:szCs w:val="24"/>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WPS_1528166271</cp:lastModifiedBy>
  <cp:lastPrinted>2023-10-07T05:41:04Z</cp:lastPrinted>
  <dcterms:modified xsi:type="dcterms:W3CDTF">2023-10-07T06:10:28Z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8215510ABE64409B8A54D9CCE14E1439_12</vt:lpwstr>
  </property>
</Properties>
</file>