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0B1F">
      <w:pPr>
        <w:spacing w:line="360" w:lineRule="auto"/>
        <w:jc w:val="center"/>
        <w:rPr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化学发光成像系统</w:t>
      </w:r>
      <w:r>
        <w:rPr>
          <w:b/>
          <w:bCs/>
          <w:color w:val="auto"/>
          <w:sz w:val="30"/>
          <w:szCs w:val="30"/>
        </w:rPr>
        <w:t>进口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核心</w:t>
      </w:r>
      <w:r>
        <w:rPr>
          <w:b/>
          <w:bCs/>
          <w:color w:val="auto"/>
          <w:sz w:val="30"/>
          <w:szCs w:val="30"/>
        </w:rPr>
        <w:t>参数</w:t>
      </w:r>
    </w:p>
    <w:p w14:paraId="63C2A98D">
      <w:pPr>
        <w:numPr>
          <w:ilvl w:val="0"/>
          <w:numId w:val="1"/>
        </w:numPr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设备名称：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化学发光成像系统</w:t>
      </w:r>
      <w:bookmarkStart w:id="0" w:name="_GoBack"/>
      <w:bookmarkEnd w:id="0"/>
    </w:p>
    <w:p w14:paraId="1AAE51CD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数量：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1套</w:t>
      </w:r>
    </w:p>
    <w:p w14:paraId="2A34E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三、设备用途说明：</w:t>
      </w:r>
      <w:r>
        <w:rPr>
          <w:rFonts w:hint="eastAsia" w:ascii="Times New Roman" w:hAnsi="Times New Roman" w:cs="Times New Roman"/>
          <w:sz w:val="28"/>
          <w:szCs w:val="28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检验科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临床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教学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科研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使用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。</w:t>
      </w:r>
    </w:p>
    <w:p w14:paraId="63D18C30">
      <w:pPr>
        <w:spacing w:line="360" w:lineRule="auto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四、技术参数及要求：</w:t>
      </w:r>
    </w:p>
    <w:p w14:paraId="4B63BED1">
      <w:pPr>
        <w:numPr>
          <w:ilvl w:val="0"/>
          <w:numId w:val="2"/>
        </w:numPr>
        <w:spacing w:line="360" w:lineRule="auto"/>
        <w:rPr>
          <w:rFonts w:hint="eastAsia" w:ascii="Arial" w:hAnsi="Arial" w:eastAsia="宋体" w:cs="Arial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成像模式包含：核酸凝胶、蛋白凝胶、</w:t>
      </w:r>
      <w:r>
        <w:rPr>
          <w:rFonts w:ascii="Arial" w:hAnsi="Arial" w:cs="Arial"/>
          <w:kern w:val="0"/>
          <w:sz w:val="28"/>
          <w:szCs w:val="28"/>
        </w:rPr>
        <w:t>印记膜化学发光成像、</w:t>
      </w:r>
      <w:r>
        <w:rPr>
          <w:rFonts w:hint="eastAsia" w:ascii="Arial" w:hAnsi="Arial" w:cs="Arial"/>
          <w:kern w:val="0"/>
          <w:sz w:val="28"/>
          <w:szCs w:val="28"/>
        </w:rPr>
        <w:t>蛋白质</w:t>
      </w:r>
      <w:r>
        <w:rPr>
          <w:rFonts w:ascii="Arial" w:hAnsi="Arial" w:cs="Arial"/>
          <w:kern w:val="0"/>
          <w:sz w:val="28"/>
          <w:szCs w:val="28"/>
        </w:rPr>
        <w:t>免染成像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 w14:paraId="233BB1B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Arial" w:hAnsi="Arial" w:eastAsia="宋体" w:cs="Arial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CCD QE值（光电转化率）：70％@425nm，峰值≥75%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 w14:paraId="1FC569B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Arial" w:hAnsi="Arial" w:eastAsia="宋体" w:cs="Arial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具有蛋白免染成像功能：可以实现样品蛋白质条带电泳结束之后直接成像，无需固定、染色和脱色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 w14:paraId="1D3D027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Arial" w:hAnsi="Arial" w:eastAsia="宋体" w:cs="Arial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软件可进行Total Protein Normalization总蛋白归一化计算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 w14:paraId="11E89E48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Arial" w:hAnsi="Arial" w:eastAsia="宋体" w:cs="Arial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可通过USB及Ethernet输出原始格式图片及TIF、JPEG格式图片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。</w:t>
      </w:r>
    </w:p>
    <w:p w14:paraId="692B0CCB"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6BD90"/>
    <w:multiLevelType w:val="singleLevel"/>
    <w:tmpl w:val="EB66BD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A32546"/>
    <w:multiLevelType w:val="singleLevel"/>
    <w:tmpl w:val="23A32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4416C"/>
    <w:rsid w:val="50D02C1D"/>
    <w:rsid w:val="64C65F7A"/>
    <w:rsid w:val="66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198</Characters>
  <Lines>0</Lines>
  <Paragraphs>0</Paragraphs>
  <TotalTime>0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2025-05-21T07:08:00Z</dcterms:created>
  <dc:creator>Administrator</dc:creator>
  <cp:lastModifiedBy>王心纲</cp:lastModifiedBy>
  <dcterms:modified xsi:type="dcterms:W3CDTF">2025-05-29T02:48:28Z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eyJoZGlkIjoiNTAyOGJhYzMyMGVmZjQxMjkxODcyYmViM2ZiNjk1ZWIiLCJ1c2VySWQiOiI0MTk0OTMzMzkifQ==</vt:lpwstr>
  </property>
  <property fmtid="{D5CDD505-2E9C-101B-9397-08002B2CF9AE}" pid="4" name="ICV">
    <vt:lpwstr>2848C90C2B214CFB854E5536E9B6AD63_13</vt:lpwstr>
  </property>
</Properties>
</file>